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62225" cy="712470"/>
            <wp:effectExtent l="0" t="0" r="0" b="0"/>
            <wp:docPr id="3" name="image13.png" descr="Description: CSUEB_LogoSealColor"/>
            <wp:cNvGraphicFramePr/>
            <a:graphic xmlns:a="http://schemas.openxmlformats.org/drawingml/2006/main">
              <a:graphicData uri="http://schemas.openxmlformats.org/drawingml/2006/picture">
                <pic:pic xmlns:pic="http://schemas.openxmlformats.org/drawingml/2006/picture">
                  <pic:nvPicPr>
                    <pic:cNvPr id="0" name="image13.png" descr="Description: CSUEB_LogoSealColor"/>
                    <pic:cNvPicPr preferRelativeResize="0"/>
                  </pic:nvPicPr>
                  <pic:blipFill>
                    <a:blip r:embed="rId8"/>
                    <a:srcRect/>
                    <a:stretch>
                      <a:fillRect/>
                    </a:stretch>
                  </pic:blipFill>
                  <pic:spPr>
                    <a:xfrm>
                      <a:off x="0" y="0"/>
                      <a:ext cx="2562225" cy="71247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margin">
                  <wp:posOffset>2616200</wp:posOffset>
                </wp:positionH>
                <wp:positionV relativeFrom="paragraph">
                  <wp:posOffset>0</wp:posOffset>
                </wp:positionV>
                <wp:extent cx="3552825" cy="809625"/>
                <wp:effectExtent l="0" t="0" r="0" b="0"/>
                <wp:wrapNone/>
                <wp:docPr id="1" name="Rectangle 1"/>
                <wp:cNvGraphicFramePr/>
                <a:graphic xmlns:a="http://schemas.openxmlformats.org/drawingml/2006/main">
                  <a:graphicData uri="http://schemas.microsoft.com/office/word/2010/wordprocessingShape">
                    <wps:wsp>
                      <wps:cNvSpPr/>
                      <wps:spPr>
                        <a:xfrm>
                          <a:off x="3574350" y="3379950"/>
                          <a:ext cx="3543300" cy="800100"/>
                        </a:xfrm>
                        <a:prstGeom prst="rect">
                          <a:avLst/>
                        </a:prstGeom>
                        <a:solidFill>
                          <a:srgbClr val="FFFFFF"/>
                        </a:solidFill>
                        <a:ln>
                          <a:noFill/>
                        </a:ln>
                      </wps:spPr>
                      <wps:txbx>
                        <w:txbxContent>
                          <w:p w:rsidR="0057260B" w:rsidRDefault="00B00FC3">
                            <w:pPr>
                              <w:spacing w:after="0" w:line="275" w:lineRule="auto"/>
                              <w:jc w:val="center"/>
                              <w:textDirection w:val="btLr"/>
                            </w:pPr>
                            <w:r>
                              <w:rPr>
                                <w:rFonts w:ascii="Times New Roman" w:eastAsia="Times New Roman" w:hAnsi="Times New Roman" w:cs="Times New Roman"/>
                                <w:b/>
                                <w:color w:val="000000"/>
                                <w:sz w:val="32"/>
                              </w:rPr>
                              <w:t>ACADEMIC SENATE</w:t>
                            </w:r>
                          </w:p>
                          <w:p w:rsidR="0057260B" w:rsidRDefault="00B00FC3">
                            <w:pPr>
                              <w:spacing w:after="0" w:line="275" w:lineRule="auto"/>
                              <w:jc w:val="center"/>
                              <w:textDirection w:val="btLr"/>
                            </w:pPr>
                            <w:r>
                              <w:rPr>
                                <w:rFonts w:ascii="Times New Roman" w:eastAsia="Times New Roman" w:hAnsi="Times New Roman" w:cs="Times New Roman"/>
                                <w:b/>
                                <w:color w:val="000000"/>
                                <w:sz w:val="26"/>
                              </w:rPr>
                              <w:t>Committee on Academic Planning and Review</w:t>
                            </w:r>
                          </w:p>
                          <w:p w:rsidR="0057260B" w:rsidRDefault="0057260B">
                            <w:pPr>
                              <w:spacing w:after="0" w:line="275" w:lineRule="auto"/>
                              <w:jc w:val="center"/>
                              <w:textDirection w:val="btLr"/>
                            </w:pPr>
                          </w:p>
                          <w:p w:rsidR="0057260B" w:rsidRDefault="0057260B">
                            <w:pPr>
                              <w:spacing w:line="275" w:lineRule="auto"/>
                              <w:jc w:val="right"/>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2616200</wp:posOffset>
                </wp:positionH>
                <wp:positionV relativeFrom="paragraph">
                  <wp:posOffset>0</wp:posOffset>
                </wp:positionV>
                <wp:extent cx="3552825" cy="809625"/>
                <wp:effectExtent b="0" l="0" r="0" t="0"/>
                <wp:wrapNone/>
                <wp:docPr id="1"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552825" cy="809625"/>
                        </a:xfrm>
                        <a:prstGeom prst="rect"/>
                        <a:ln/>
                      </pic:spPr>
                    </pic:pic>
                  </a:graphicData>
                </a:graphic>
              </wp:anchor>
            </w:drawing>
          </mc:Fallback>
        </mc:AlternateContent>
      </w:r>
    </w:p>
    <w:p w:rsidR="0057260B" w:rsidRDefault="00B00FC3">
      <w:pPr>
        <w:rPr>
          <w:rFonts w:ascii="Times New Roman" w:eastAsia="Times New Roman" w:hAnsi="Times New Roman" w:cs="Times New Roman"/>
          <w:sz w:val="24"/>
          <w:szCs w:val="24"/>
        </w:rPr>
      </w:pPr>
      <w:r>
        <w:rPr>
          <w:noProof/>
        </w:rPr>
        <mc:AlternateContent>
          <mc:Choice Requires="wpg">
            <w:drawing>
              <wp:anchor distT="4294967295" distB="4294967295" distL="114300" distR="114300" simplePos="0" relativeHeight="251659264" behindDoc="0" locked="0" layoutInCell="1" hidden="0" allowOverlap="1">
                <wp:simplePos x="0" y="0"/>
                <wp:positionH relativeFrom="margin">
                  <wp:posOffset>1</wp:posOffset>
                </wp:positionH>
                <wp:positionV relativeFrom="paragraph">
                  <wp:posOffset>81296</wp:posOffset>
                </wp:positionV>
                <wp:extent cx="606361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14193" y="3780000"/>
                          <a:ext cx="60636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margin">
                  <wp:posOffset>1</wp:posOffset>
                </wp:positionH>
                <wp:positionV relativeFrom="paragraph">
                  <wp:posOffset>81296</wp:posOffset>
                </wp:positionV>
                <wp:extent cx="6063615" cy="12700"/>
                <wp:effectExtent b="0" l="0" r="0" t="0"/>
                <wp:wrapNone/>
                <wp:docPr id="2"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6063615" cy="12700"/>
                        </a:xfrm>
                        <a:prstGeom prst="rect"/>
                        <a:ln/>
                      </pic:spPr>
                    </pic:pic>
                  </a:graphicData>
                </a:graphic>
              </wp:anchor>
            </w:drawing>
          </mc:Fallback>
        </mc:AlternateContent>
      </w:r>
    </w:p>
    <w:p w:rsidR="0057260B" w:rsidRDefault="00B00FC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ANNUAL PROGRAM REPORT</w:t>
      </w:r>
    </w:p>
    <w:tbl>
      <w:tblPr>
        <w:tblStyle w:val="a"/>
        <w:tblW w:w="8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5418"/>
      </w:tblGrid>
      <w:tr w:rsidR="0057260B">
        <w:trPr>
          <w:trHeight w:val="30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CEAS</w:t>
            </w:r>
          </w:p>
        </w:tc>
      </w:tr>
      <w:tr w:rsidR="0057260B">
        <w:trPr>
          <w:trHeight w:val="30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Extension</w:t>
            </w:r>
          </w:p>
        </w:tc>
      </w:tr>
      <w:tr w:rsidR="0057260B">
        <w:trPr>
          <w:trHeight w:val="30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M.S. Ed., Concentration in Online Teaching and Learning</w:t>
            </w:r>
          </w:p>
        </w:tc>
      </w:tr>
      <w:tr w:rsidR="0057260B">
        <w:trPr>
          <w:trHeight w:val="28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for Academic Year</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2017-2018</w:t>
            </w:r>
          </w:p>
        </w:tc>
      </w:tr>
      <w:tr w:rsidR="0057260B">
        <w:trPr>
          <w:trHeight w:val="30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Last 5-Year Review</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r>
      <w:tr w:rsidR="0057260B">
        <w:trPr>
          <w:trHeight w:val="30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5-Year Review</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r>
      <w:tr w:rsidR="0057260B">
        <w:trPr>
          <w:trHeight w:val="30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Chair</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Anne Guptill</w:t>
            </w:r>
          </w:p>
        </w:tc>
      </w:tr>
      <w:tr w:rsidR="0057260B">
        <w:trPr>
          <w:trHeight w:val="300"/>
        </w:trPr>
        <w:tc>
          <w:tcPr>
            <w:tcW w:w="307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Submitted</w:t>
            </w:r>
          </w:p>
        </w:tc>
        <w:tc>
          <w:tcPr>
            <w:tcW w:w="5418"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10/15/2018</w:t>
            </w:r>
          </w:p>
        </w:tc>
      </w:tr>
    </w:tbl>
    <w:p w:rsidR="0057260B" w:rsidRDefault="00B00FC3">
      <w:pPr>
        <w:pStyle w:val="Heading1"/>
        <w:numPr>
          <w:ilvl w:val="0"/>
          <w:numId w:val="1"/>
        </w:numPr>
        <w:ind w:left="-810"/>
        <w:rPr>
          <w:sz w:val="24"/>
          <w:szCs w:val="24"/>
        </w:rPr>
      </w:pPr>
      <w:r>
        <w:rPr>
          <w:sz w:val="24"/>
          <w:szCs w:val="24"/>
          <w:u w:val="single"/>
        </w:rPr>
        <w:t>SELF-STUDY</w:t>
      </w:r>
      <w:r>
        <w:rPr>
          <w:sz w:val="24"/>
          <w:szCs w:val="24"/>
        </w:rPr>
        <w:t xml:space="preserve">   </w:t>
      </w:r>
      <w:r>
        <w:rPr>
          <w:b w:val="0"/>
          <w:i/>
          <w:sz w:val="24"/>
          <w:szCs w:val="24"/>
        </w:rPr>
        <w:t>(suggested length of 1-3 pages)</w:t>
      </w:r>
    </w:p>
    <w:p w:rsidR="0057260B" w:rsidRDefault="00B00FC3">
      <w:pPr>
        <w:pStyle w:val="Heading2"/>
        <w:numPr>
          <w:ilvl w:val="1"/>
          <w:numId w:val="1"/>
        </w:numPr>
        <w:ind w:left="90" w:hanging="360"/>
        <w:rPr>
          <w:b w:val="0"/>
          <w:sz w:val="24"/>
          <w:szCs w:val="24"/>
        </w:rPr>
      </w:pPr>
      <w:r>
        <w:rPr>
          <w:smallCaps w:val="0"/>
          <w:sz w:val="24"/>
          <w:szCs w:val="24"/>
        </w:rPr>
        <w:t>Five-Year Review Planning Goals</w:t>
      </w:r>
      <w:r>
        <w:rPr>
          <w:sz w:val="24"/>
          <w:szCs w:val="24"/>
        </w:rPr>
        <w:br/>
      </w:r>
      <w:proofErr w:type="gramStart"/>
      <w:r>
        <w:rPr>
          <w:b w:val="0"/>
          <w:i/>
          <w:smallCaps w:val="0"/>
          <w:sz w:val="24"/>
          <w:szCs w:val="24"/>
        </w:rPr>
        <w:t>Present</w:t>
      </w:r>
      <w:proofErr w:type="gramEnd"/>
      <w:r>
        <w:rPr>
          <w:b w:val="0"/>
          <w:i/>
          <w:smallCaps w:val="0"/>
          <w:sz w:val="24"/>
          <w:szCs w:val="24"/>
        </w:rPr>
        <w:t xml:space="preserve"> your planning goals from your last 5-year plan</w:t>
      </w:r>
      <w:r>
        <w:rPr>
          <w:b w:val="0"/>
          <w:i/>
          <w:sz w:val="24"/>
          <w:szCs w:val="24"/>
        </w:rPr>
        <w:t>.</w:t>
      </w:r>
      <w:r>
        <w:rPr>
          <w:b w:val="0"/>
          <w:sz w:val="24"/>
          <w:szCs w:val="24"/>
        </w:rPr>
        <w:t xml:space="preserve"> </w:t>
      </w:r>
    </w:p>
    <w:p w:rsidR="0057260B" w:rsidRDefault="00B00FC3">
      <w:pPr>
        <w:rPr>
          <w:rFonts w:ascii="Times New Roman" w:eastAsia="Times New Roman" w:hAnsi="Times New Roman" w:cs="Times New Roman"/>
        </w:rPr>
      </w:pPr>
      <w:r>
        <w:rPr>
          <w:rFonts w:ascii="Times New Roman" w:eastAsia="Times New Roman" w:hAnsi="Times New Roman" w:cs="Times New Roman"/>
        </w:rPr>
        <w:t>1. Quality Matters (QM) certification of all courses in program. (QM is a national standard higher education rubric with design standards for online courses)</w:t>
      </w:r>
      <w:r>
        <w:rPr>
          <w:rFonts w:ascii="Times New Roman" w:eastAsia="Times New Roman" w:hAnsi="Times New Roman" w:cs="Times New Roman"/>
        </w:rPr>
        <w:br/>
      </w:r>
      <w:r>
        <w:rPr>
          <w:rFonts w:ascii="Times New Roman" w:eastAsia="Times New Roman" w:hAnsi="Times New Roman" w:cs="Times New Roman"/>
        </w:rPr>
        <w:br/>
        <w:t>2. Update technical elective courses with current technology instruction.</w:t>
      </w:r>
    </w:p>
    <w:p w:rsidR="0057260B" w:rsidRDefault="00B00FC3">
      <w:pPr>
        <w:rPr>
          <w:rFonts w:ascii="Times New Roman" w:eastAsia="Times New Roman" w:hAnsi="Times New Roman" w:cs="Times New Roman"/>
        </w:rPr>
      </w:pPr>
      <w:r>
        <w:rPr>
          <w:rFonts w:ascii="Times New Roman" w:eastAsia="Times New Roman" w:hAnsi="Times New Roman" w:cs="Times New Roman"/>
        </w:rPr>
        <w:t>3. Update instructional</w:t>
      </w:r>
      <w:r>
        <w:rPr>
          <w:rFonts w:ascii="Times New Roman" w:eastAsia="Times New Roman" w:hAnsi="Times New Roman" w:cs="Times New Roman"/>
        </w:rPr>
        <w:t xml:space="preserve"> materials to keep current with best practices in online teaching and learning and emerging instructional design models. </w:t>
      </w:r>
    </w:p>
    <w:p w:rsidR="0057260B" w:rsidRDefault="00B00FC3">
      <w:pPr>
        <w:rPr>
          <w:rFonts w:ascii="Times New Roman" w:eastAsia="Times New Roman" w:hAnsi="Times New Roman" w:cs="Times New Roman"/>
        </w:rPr>
      </w:pPr>
      <w:r>
        <w:rPr>
          <w:rFonts w:ascii="Times New Roman" w:eastAsia="Times New Roman" w:hAnsi="Times New Roman" w:cs="Times New Roman"/>
        </w:rPr>
        <w:t xml:space="preserve">4. Create “master” courses for multiple instructors where appropriate. </w:t>
      </w:r>
    </w:p>
    <w:p w:rsidR="0057260B" w:rsidRDefault="00B00FC3">
      <w:pPr>
        <w:rPr>
          <w:rFonts w:ascii="Times New Roman" w:eastAsia="Times New Roman" w:hAnsi="Times New Roman" w:cs="Times New Roman"/>
        </w:rPr>
      </w:pPr>
      <w:r>
        <w:rPr>
          <w:rFonts w:ascii="Times New Roman" w:eastAsia="Times New Roman" w:hAnsi="Times New Roman" w:cs="Times New Roman"/>
        </w:rPr>
        <w:t xml:space="preserve">5. Develop and implement creative ways to market program. </w:t>
      </w:r>
    </w:p>
    <w:p w:rsidR="0057260B" w:rsidRDefault="0057260B">
      <w:pPr>
        <w:spacing w:after="0" w:line="240" w:lineRule="auto"/>
        <w:rPr>
          <w:rFonts w:ascii="Times New Roman" w:eastAsia="Times New Roman" w:hAnsi="Times New Roman" w:cs="Times New Roman"/>
          <w:sz w:val="24"/>
          <w:szCs w:val="24"/>
        </w:rPr>
      </w:pPr>
    </w:p>
    <w:p w:rsidR="0057260B" w:rsidRDefault="00B00FC3">
      <w:pPr>
        <w:pStyle w:val="Heading2"/>
        <w:numPr>
          <w:ilvl w:val="1"/>
          <w:numId w:val="1"/>
        </w:numPr>
        <w:ind w:left="90" w:hanging="360"/>
        <w:rPr>
          <w:b w:val="0"/>
          <w:smallCaps w:val="0"/>
          <w:sz w:val="24"/>
          <w:szCs w:val="24"/>
        </w:rPr>
      </w:pPr>
      <w:r>
        <w:rPr>
          <w:smallCaps w:val="0"/>
          <w:sz w:val="24"/>
          <w:szCs w:val="24"/>
        </w:rPr>
        <w:t>Pr</w:t>
      </w:r>
      <w:r>
        <w:rPr>
          <w:smallCaps w:val="0"/>
          <w:sz w:val="24"/>
          <w:szCs w:val="24"/>
        </w:rPr>
        <w:t xml:space="preserve">ogress </w:t>
      </w:r>
      <w:proofErr w:type="gramStart"/>
      <w:r>
        <w:rPr>
          <w:smallCaps w:val="0"/>
          <w:sz w:val="24"/>
          <w:szCs w:val="24"/>
        </w:rPr>
        <w:t>Toward</w:t>
      </w:r>
      <w:proofErr w:type="gramEnd"/>
      <w:r>
        <w:rPr>
          <w:smallCaps w:val="0"/>
          <w:sz w:val="24"/>
          <w:szCs w:val="24"/>
        </w:rPr>
        <w:t xml:space="preserve"> Five-Year Review Planning Goals</w:t>
      </w:r>
      <w:r>
        <w:rPr>
          <w:smallCaps w:val="0"/>
          <w:sz w:val="24"/>
          <w:szCs w:val="24"/>
        </w:rPr>
        <w:br/>
      </w:r>
      <w:r>
        <w:rPr>
          <w:b w:val="0"/>
          <w:i/>
          <w:smallCaps w:val="0"/>
          <w:sz w:val="24"/>
          <w:szCs w:val="24"/>
        </w:rPr>
        <w:t>Report on your progress toward achievement of the 5-Year Plan. Include discussion of problems reaching each goal, revised goals, and any new initiatives taken with respect to each goal.</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1. An additional 4 cours</w:t>
      </w:r>
      <w:r>
        <w:rPr>
          <w:rFonts w:ascii="Times New Roman" w:eastAsia="Times New Roman" w:hAnsi="Times New Roman" w:cs="Times New Roman"/>
          <w:sz w:val="24"/>
          <w:szCs w:val="24"/>
        </w:rPr>
        <w:t xml:space="preserve">es received Quality Matters certification, bringing the total to 10 QM certified courses. </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Responding to the demand of the market and students, all 4 technical elective courses were revised with current technology instruction. </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3. Courses were updated during the university quarter to semester conversion. Newer and emerging instructional design and delivery models were added to the curriculum. The LMS course and module layout was redesigned to ensure readability and usability.  Th</w:t>
      </w:r>
      <w:r>
        <w:rPr>
          <w:rFonts w:ascii="Times New Roman" w:eastAsia="Times New Roman" w:hAnsi="Times New Roman" w:cs="Times New Roman"/>
          <w:sz w:val="24"/>
          <w:szCs w:val="24"/>
        </w:rPr>
        <w:t xml:space="preserve">e focus this past year </w:t>
      </w:r>
      <w:r>
        <w:rPr>
          <w:rFonts w:ascii="Times New Roman" w:eastAsia="Times New Roman" w:hAnsi="Times New Roman" w:cs="Times New Roman"/>
          <w:sz w:val="24"/>
          <w:szCs w:val="24"/>
        </w:rPr>
        <w:lastRenderedPageBreak/>
        <w:t xml:space="preserve">was on course conversions to the semester format. Online courses need to be developed and built before delivery and it is a time-consuming process. </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Courses in the program give in-depth knowledge of the pedagogy of online teaching and technical skills for online course development. Each course builds on the previous to lead to the capstone. The capstone course was converted from 10 weeks to 16 weeks an</w:t>
      </w:r>
      <w:r>
        <w:rPr>
          <w:rFonts w:ascii="Times New Roman" w:eastAsia="Times New Roman" w:hAnsi="Times New Roman" w:cs="Times New Roman"/>
          <w:sz w:val="24"/>
          <w:szCs w:val="24"/>
        </w:rPr>
        <w:t xml:space="preserve">d was revised by adding 10 components to reach the capstone conclusion. The capstone consists of the design and development of an online course with a supporting 5-chapter paper: Introduction, Literature Review, </w:t>
      </w:r>
      <w:proofErr w:type="gramStart"/>
      <w:r>
        <w:rPr>
          <w:rFonts w:ascii="Times New Roman" w:eastAsia="Times New Roman" w:hAnsi="Times New Roman" w:cs="Times New Roman"/>
          <w:sz w:val="24"/>
          <w:szCs w:val="24"/>
        </w:rPr>
        <w:t>Theory</w:t>
      </w:r>
      <w:proofErr w:type="gramEnd"/>
      <w:r>
        <w:rPr>
          <w:rFonts w:ascii="Times New Roman" w:eastAsia="Times New Roman" w:hAnsi="Times New Roman" w:cs="Times New Roman"/>
          <w:sz w:val="24"/>
          <w:szCs w:val="24"/>
        </w:rPr>
        <w:t xml:space="preserve"> to Practice, Usability Testing, and C</w:t>
      </w:r>
      <w:r>
        <w:rPr>
          <w:rFonts w:ascii="Times New Roman" w:eastAsia="Times New Roman" w:hAnsi="Times New Roman" w:cs="Times New Roman"/>
          <w:sz w:val="24"/>
          <w:szCs w:val="24"/>
        </w:rPr>
        <w:t xml:space="preserve">ontinuing Improvement. </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anonymous student evaluation surveys completed by students toward the end of a course helped to modify courses in the following ways:</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Adjusted flow of assignments</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Increased frequency of feedback provided to students regarding th</w:t>
      </w:r>
      <w:r>
        <w:rPr>
          <w:rFonts w:ascii="Times New Roman" w:eastAsia="Times New Roman" w:hAnsi="Times New Roman" w:cs="Times New Roman"/>
          <w:color w:val="000000"/>
          <w:sz w:val="24"/>
          <w:szCs w:val="24"/>
        </w:rPr>
        <w:t xml:space="preserve">eir performance </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Modified assignments to include group work, presentations, and/or screencasts</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Increased use of collaborative authoring tools to share material with classmates</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Increased use of video lectures by faculty, to supplement audio lectures or writ</w:t>
      </w:r>
      <w:r>
        <w:rPr>
          <w:rFonts w:ascii="Times New Roman" w:eastAsia="Times New Roman" w:hAnsi="Times New Roman" w:cs="Times New Roman"/>
          <w:color w:val="000000"/>
          <w:sz w:val="24"/>
          <w:szCs w:val="24"/>
        </w:rPr>
        <w:t>ten lectures</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Revised course readings</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Incorporated new technology tools into assignments, so students are introduced to emerging technology and required to explore the technology</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Added optional web conferencing drop in sessions, where faculty and students i</w:t>
      </w:r>
      <w:r>
        <w:rPr>
          <w:rFonts w:ascii="Times New Roman" w:eastAsia="Times New Roman" w:hAnsi="Times New Roman" w:cs="Times New Roman"/>
          <w:color w:val="000000"/>
          <w:sz w:val="24"/>
          <w:szCs w:val="24"/>
        </w:rPr>
        <w:t>nteract and discuss course activities</w:t>
      </w:r>
    </w:p>
    <w:p w:rsidR="0057260B" w:rsidRDefault="00B00FC3">
      <w:pPr>
        <w:numPr>
          <w:ilvl w:val="0"/>
          <w:numId w:val="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Offered assignment alternatives to accommodate diverse learning interests</w:t>
      </w:r>
    </w:p>
    <w:p w:rsidR="0057260B" w:rsidRDefault="00B00FC3">
      <w:pPr>
        <w:numPr>
          <w:ilvl w:val="0"/>
          <w:numId w:val="2"/>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Updated assignment instructions, and provided those instructions via written documents, as well as screencasts and podcasts</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Two master cours</w:t>
      </w:r>
      <w:r>
        <w:rPr>
          <w:rFonts w:ascii="Times New Roman" w:eastAsia="Times New Roman" w:hAnsi="Times New Roman" w:cs="Times New Roman"/>
          <w:sz w:val="24"/>
          <w:szCs w:val="24"/>
        </w:rPr>
        <w:t xml:space="preserve">es have been created out of 15 courses. </w:t>
      </w:r>
    </w:p>
    <w:p w:rsidR="0057260B" w:rsidRDefault="00B00FC3">
      <w:pPr>
        <w:keepNex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Marketing- </w:t>
      </w:r>
    </w:p>
    <w:p w:rsidR="0057260B" w:rsidRDefault="00B00FC3">
      <w:pPr>
        <w:keepNex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 have started tracking the conversion rate of leads for the degree admittance. </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rPr>
        <w:drawing>
          <wp:inline distT="0" distB="0" distL="0" distR="0">
            <wp:extent cx="4736592" cy="3657600"/>
            <wp:effectExtent l="0" t="0" r="0" b="0"/>
            <wp:docPr id="5" name="image15.gif"/>
            <wp:cNvGraphicFramePr/>
            <a:graphic xmlns:a="http://schemas.openxmlformats.org/drawingml/2006/main">
              <a:graphicData uri="http://schemas.openxmlformats.org/drawingml/2006/picture">
                <pic:pic xmlns:pic="http://schemas.openxmlformats.org/drawingml/2006/picture">
                  <pic:nvPicPr>
                    <pic:cNvPr id="0" name="image15.gif"/>
                    <pic:cNvPicPr preferRelativeResize="0"/>
                  </pic:nvPicPr>
                  <pic:blipFill>
                    <a:blip r:embed="rId11"/>
                    <a:srcRect/>
                    <a:stretch>
                      <a:fillRect/>
                    </a:stretch>
                  </pic:blipFill>
                  <pic:spPr>
                    <a:xfrm>
                      <a:off x="0" y="0"/>
                      <a:ext cx="4736592" cy="3657600"/>
                    </a:xfrm>
                    <a:prstGeom prst="rect">
                      <a:avLst/>
                    </a:prstGeom>
                    <a:ln/>
                  </pic:spPr>
                </pic:pic>
              </a:graphicData>
            </a:graphic>
          </wp:inline>
        </w:drawing>
      </w:r>
    </w:p>
    <w:p w:rsidR="0057260B" w:rsidRDefault="00B00FC3">
      <w:pPr>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Conversion rates for 2017-2018</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We are encouraging the OTL Certificate students to continue by applying for the master’s program. </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Marketing webinars were hosted for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2017 and Spring 2018 admission cycle</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Marketing communication funnel (aka “drip campaign”) started for </w:t>
      </w:r>
      <w:proofErr w:type="gramStart"/>
      <w:r>
        <w:rPr>
          <w:rFonts w:ascii="Times New Roman" w:eastAsia="Times New Roman" w:hAnsi="Times New Roman" w:cs="Times New Roman"/>
          <w:sz w:val="24"/>
          <w:szCs w:val="24"/>
        </w:rPr>
        <w:t>Fal</w:t>
      </w:r>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2017 admission cycle.   The marketing campaign consists of 15 emails within a 6-month timespan.  Emails are sent to leads every 4 – 14 days, depending on how long they’ve been on the list.  For example,</w:t>
      </w:r>
    </w:p>
    <w:p w:rsidR="0057260B" w:rsidRDefault="00B00FC3">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Email #1 - Day 1 – general info about MS OTL</w:t>
      </w:r>
    </w:p>
    <w:p w:rsidR="0057260B" w:rsidRDefault="00B00FC3">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Email #2 - Day 4 – overview of the profession</w:t>
      </w:r>
    </w:p>
    <w:p w:rsidR="0057260B" w:rsidRDefault="00B00FC3">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Email #3 – Day 9 – Student Success Story #1</w:t>
      </w:r>
    </w:p>
    <w:p w:rsidR="0057260B" w:rsidRDefault="00B00FC3">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Email #4 – Day 16 – Program Benefit #1</w:t>
      </w:r>
    </w:p>
    <w:p w:rsidR="0092758E" w:rsidRDefault="0092758E">
      <w:pPr>
        <w:ind w:left="360"/>
        <w:rPr>
          <w:rFonts w:ascii="Times New Roman" w:eastAsia="Times New Roman" w:hAnsi="Times New Roman" w:cs="Times New Roman"/>
          <w:sz w:val="24"/>
          <w:szCs w:val="24"/>
        </w:rPr>
      </w:pP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 Various automated emails are sent based on action from the lead. For example, once they have submitted an applicati</w:t>
      </w:r>
      <w:r>
        <w:rPr>
          <w:rFonts w:ascii="Times New Roman" w:eastAsia="Times New Roman" w:hAnsi="Times New Roman" w:cs="Times New Roman"/>
          <w:sz w:val="24"/>
          <w:szCs w:val="24"/>
        </w:rPr>
        <w:t>on in Cal State Apply, they get a “thank you for applying” email.  Once they’ve applied they are sent various email reminders to submit documents or if they are finally admitted to the program, they get a generic “welcome to the program” email from Program</w:t>
      </w:r>
      <w:r>
        <w:rPr>
          <w:rFonts w:ascii="Times New Roman" w:eastAsia="Times New Roman" w:hAnsi="Times New Roman" w:cs="Times New Roman"/>
          <w:sz w:val="24"/>
          <w:szCs w:val="24"/>
        </w:rPr>
        <w:t xml:space="preserve"> Director.</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There are two different types of “</w:t>
      </w:r>
      <w:proofErr w:type="spellStart"/>
      <w:r>
        <w:rPr>
          <w:rFonts w:ascii="Times New Roman" w:eastAsia="Times New Roman" w:hAnsi="Times New Roman" w:cs="Times New Roman"/>
          <w:sz w:val="24"/>
          <w:szCs w:val="24"/>
        </w:rPr>
        <w:t>eblasts</w:t>
      </w:r>
      <w:proofErr w:type="spellEnd"/>
      <w:r>
        <w:rPr>
          <w:rFonts w:ascii="Times New Roman" w:eastAsia="Times New Roman" w:hAnsi="Times New Roman" w:cs="Times New Roman"/>
          <w:sz w:val="24"/>
          <w:szCs w:val="24"/>
        </w:rPr>
        <w:t xml:space="preserve">” for </w:t>
      </w:r>
      <w:proofErr w:type="spellStart"/>
      <w:r>
        <w:rPr>
          <w:rFonts w:ascii="Times New Roman" w:eastAsia="Times New Roman" w:hAnsi="Times New Roman" w:cs="Times New Roman"/>
          <w:sz w:val="24"/>
          <w:szCs w:val="24"/>
        </w:rPr>
        <w:t>MSEd</w:t>
      </w:r>
      <w:proofErr w:type="spellEnd"/>
      <w:r>
        <w:rPr>
          <w:rFonts w:ascii="Times New Roman" w:eastAsia="Times New Roman" w:hAnsi="Times New Roman" w:cs="Times New Roman"/>
          <w:sz w:val="24"/>
          <w:szCs w:val="24"/>
        </w:rPr>
        <w:t>-OTL</w:t>
      </w:r>
    </w:p>
    <w:p w:rsidR="0057260B" w:rsidRDefault="00B00FC3">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Applying to the program:  4 weeks and 1 week before the application period ends</w:t>
      </w:r>
    </w:p>
    <w:p w:rsidR="0057260B" w:rsidRDefault="00B00FC3">
      <w:pPr>
        <w:numPr>
          <w:ilvl w:val="0"/>
          <w:numId w:val="4"/>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Registration:  1 – 2 weeks after the registration period starts and 1 week before registration period e</w:t>
      </w:r>
      <w:r>
        <w:rPr>
          <w:rFonts w:ascii="Times New Roman" w:eastAsia="Times New Roman" w:hAnsi="Times New Roman" w:cs="Times New Roman"/>
          <w:color w:val="000000"/>
          <w:sz w:val="24"/>
          <w:szCs w:val="24"/>
        </w:rPr>
        <w:t>nds</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g.) Information requests with additional questions are answered by the program coordinator within 1 – 2 business days</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A program Facebook page was established 11/2017 where we post online teaching and learning related articles 1-2 times per week. </w:t>
      </w:r>
    </w:p>
    <w:p w:rsidR="0057260B" w:rsidRDefault="0057260B">
      <w:pPr>
        <w:ind w:left="360"/>
        <w:rPr>
          <w:rFonts w:ascii="Times New Roman" w:eastAsia="Times New Roman" w:hAnsi="Times New Roman" w:cs="Times New Roman"/>
          <w:sz w:val="24"/>
          <w:szCs w:val="24"/>
        </w:rPr>
      </w:pPr>
    </w:p>
    <w:p w:rsidR="0057260B" w:rsidRDefault="00B00FC3">
      <w:pPr>
        <w:pStyle w:val="Heading2"/>
        <w:numPr>
          <w:ilvl w:val="1"/>
          <w:numId w:val="1"/>
        </w:numPr>
        <w:ind w:left="90" w:hanging="360"/>
        <w:rPr>
          <w:smallCaps w:val="0"/>
          <w:sz w:val="24"/>
          <w:szCs w:val="24"/>
        </w:rPr>
      </w:pPr>
      <w:r>
        <w:rPr>
          <w:smallCaps w:val="0"/>
          <w:sz w:val="24"/>
          <w:szCs w:val="24"/>
        </w:rPr>
        <w:t xml:space="preserve">Program Changes and Needs </w:t>
      </w:r>
    </w:p>
    <w:p w:rsidR="0057260B" w:rsidRDefault="00B00F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Report on changes and emerging needs not already discussed above. Include any changes related to SB1440, significant events which have occurred or are imminent, program demand projections, notable changes in resources, retiremen</w:t>
      </w:r>
      <w:r>
        <w:rPr>
          <w:rFonts w:ascii="Times New Roman" w:eastAsia="Times New Roman" w:hAnsi="Times New Roman" w:cs="Times New Roman"/>
          <w:i/>
          <w:sz w:val="24"/>
          <w:szCs w:val="24"/>
        </w:rPr>
        <w:t xml:space="preserve">ts/new hires, curricular changes, honors received, etc., and their implications for attaining program goals. Organize your discussion using the following subheadings. </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Overview:  </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sz w:val="24"/>
          <w:szCs w:val="24"/>
        </w:rPr>
        <w:t>The M.S. Education, Concentration in Online Teaching and Learning (</w:t>
      </w:r>
      <w:proofErr w:type="spellStart"/>
      <w:r>
        <w:rPr>
          <w:rFonts w:ascii="Times New Roman" w:eastAsia="Times New Roman" w:hAnsi="Times New Roman" w:cs="Times New Roman"/>
          <w:sz w:val="24"/>
          <w:szCs w:val="24"/>
        </w:rPr>
        <w:t>MSEd</w:t>
      </w:r>
      <w:proofErr w:type="spellEnd"/>
      <w:r>
        <w:rPr>
          <w:rFonts w:ascii="Times New Roman" w:eastAsia="Times New Roman" w:hAnsi="Times New Roman" w:cs="Times New Roman"/>
          <w:sz w:val="24"/>
          <w:szCs w:val="24"/>
        </w:rPr>
        <w:t xml:space="preserve">-OTL) is self-supporting Special Program administered through University Extension. </w:t>
      </w:r>
      <w:r>
        <w:rPr>
          <w:rFonts w:ascii="Times New Roman" w:eastAsia="Times New Roman" w:hAnsi="Times New Roman" w:cs="Times New Roman"/>
          <w:i/>
          <w:sz w:val="24"/>
          <w:szCs w:val="24"/>
        </w:rPr>
        <w:br/>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curriculum was updated and conversions made to the courses for semester delivery. </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w:t>
      </w:r>
    </w:p>
    <w:p w:rsidR="0057260B" w:rsidRDefault="00B00FC3">
      <w:pPr>
        <w:ind w:left="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MSEd</w:t>
      </w:r>
      <w:proofErr w:type="spellEnd"/>
      <w:r>
        <w:rPr>
          <w:rFonts w:ascii="Times New Roman" w:eastAsia="Times New Roman" w:hAnsi="Times New Roman" w:cs="Times New Roman"/>
          <w:sz w:val="24"/>
          <w:szCs w:val="24"/>
        </w:rPr>
        <w:t>-OTL is generally a professional development program that accepts students with prior teaching experience.</w:t>
      </w:r>
    </w:p>
    <w:tbl>
      <w:tblPr>
        <w:tblStyle w:val="a0"/>
        <w:tblW w:w="93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4681"/>
      </w:tblGrid>
      <w:tr w:rsidR="0057260B">
        <w:tc>
          <w:tcPr>
            <w:tcW w:w="4679"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w:t>
            </w:r>
          </w:p>
        </w:tc>
        <w:tc>
          <w:tcPr>
            <w:tcW w:w="4681"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by Term</w:t>
            </w:r>
          </w:p>
        </w:tc>
      </w:tr>
      <w:tr w:rsidR="0057260B">
        <w:tc>
          <w:tcPr>
            <w:tcW w:w="4679" w:type="dxa"/>
          </w:tcPr>
          <w:p w:rsidR="0057260B" w:rsidRDefault="0057260B">
            <w:pPr>
              <w:rPr>
                <w:rFonts w:ascii="Times New Roman" w:eastAsia="Times New Roman" w:hAnsi="Times New Roman" w:cs="Times New Roman"/>
                <w:sz w:val="24"/>
                <w:szCs w:val="24"/>
              </w:rPr>
            </w:pPr>
          </w:p>
        </w:tc>
        <w:tc>
          <w:tcPr>
            <w:tcW w:w="4681" w:type="dxa"/>
          </w:tcPr>
          <w:p w:rsidR="0057260B" w:rsidRDefault="0057260B">
            <w:pPr>
              <w:rPr>
                <w:rFonts w:ascii="Times New Roman" w:eastAsia="Times New Roman" w:hAnsi="Times New Roman" w:cs="Times New Roman"/>
                <w:sz w:val="24"/>
                <w:szCs w:val="24"/>
              </w:rPr>
            </w:pPr>
          </w:p>
        </w:tc>
      </w:tr>
      <w:tr w:rsidR="0057260B">
        <w:tc>
          <w:tcPr>
            <w:tcW w:w="4679"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2174 Fall </w:t>
            </w:r>
            <w:proofErr w:type="spellStart"/>
            <w:r>
              <w:rPr>
                <w:rFonts w:ascii="Times New Roman" w:eastAsia="Times New Roman" w:hAnsi="Times New Roman" w:cs="Times New Roman"/>
                <w:sz w:val="24"/>
                <w:szCs w:val="24"/>
              </w:rPr>
              <w:t>Qtr</w:t>
            </w:r>
            <w:proofErr w:type="spellEnd"/>
            <w:r>
              <w:rPr>
                <w:rFonts w:ascii="Times New Roman" w:eastAsia="Times New Roman" w:hAnsi="Times New Roman" w:cs="Times New Roman"/>
                <w:sz w:val="24"/>
                <w:szCs w:val="24"/>
              </w:rPr>
              <w:t xml:space="preserve"> 17</w:t>
            </w:r>
          </w:p>
        </w:tc>
        <w:tc>
          <w:tcPr>
            <w:tcW w:w="4681"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57260B">
        <w:tc>
          <w:tcPr>
            <w:tcW w:w="4679"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2181 Win </w:t>
            </w:r>
            <w:proofErr w:type="spellStart"/>
            <w:r>
              <w:rPr>
                <w:rFonts w:ascii="Times New Roman" w:eastAsia="Times New Roman" w:hAnsi="Times New Roman" w:cs="Times New Roman"/>
                <w:sz w:val="24"/>
                <w:szCs w:val="24"/>
              </w:rPr>
              <w:t>Qtr</w:t>
            </w:r>
            <w:proofErr w:type="spellEnd"/>
            <w:r>
              <w:rPr>
                <w:rFonts w:ascii="Times New Roman" w:eastAsia="Times New Roman" w:hAnsi="Times New Roman" w:cs="Times New Roman"/>
                <w:sz w:val="24"/>
                <w:szCs w:val="24"/>
              </w:rPr>
              <w:t xml:space="preserve"> 18</w:t>
            </w:r>
          </w:p>
        </w:tc>
        <w:tc>
          <w:tcPr>
            <w:tcW w:w="4681"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57260B">
        <w:tc>
          <w:tcPr>
            <w:tcW w:w="4679"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2182 </w:t>
            </w:r>
            <w:proofErr w:type="spellStart"/>
            <w:r>
              <w:rPr>
                <w:rFonts w:ascii="Times New Roman" w:eastAsia="Times New Roman" w:hAnsi="Times New Roman" w:cs="Times New Roman"/>
                <w:sz w:val="24"/>
                <w:szCs w:val="24"/>
              </w:rPr>
              <w:t>Spr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Qtr</w:t>
            </w:r>
            <w:proofErr w:type="spellEnd"/>
            <w:r>
              <w:rPr>
                <w:rFonts w:ascii="Times New Roman" w:eastAsia="Times New Roman" w:hAnsi="Times New Roman" w:cs="Times New Roman"/>
                <w:sz w:val="24"/>
                <w:szCs w:val="24"/>
              </w:rPr>
              <w:t xml:space="preserve"> 18</w:t>
            </w:r>
          </w:p>
        </w:tc>
        <w:tc>
          <w:tcPr>
            <w:tcW w:w="4681"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r>
      <w:tr w:rsidR="0057260B">
        <w:trPr>
          <w:trHeight w:val="60"/>
        </w:trPr>
        <w:tc>
          <w:tcPr>
            <w:tcW w:w="4679"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2183 Sum </w:t>
            </w:r>
            <w:proofErr w:type="spellStart"/>
            <w:r>
              <w:rPr>
                <w:rFonts w:ascii="Times New Roman" w:eastAsia="Times New Roman" w:hAnsi="Times New Roman" w:cs="Times New Roman"/>
                <w:sz w:val="24"/>
                <w:szCs w:val="24"/>
              </w:rPr>
              <w:t>Qtr</w:t>
            </w:r>
            <w:proofErr w:type="spellEnd"/>
            <w:r>
              <w:rPr>
                <w:rFonts w:ascii="Times New Roman" w:eastAsia="Times New Roman" w:hAnsi="Times New Roman" w:cs="Times New Roman"/>
                <w:sz w:val="24"/>
                <w:szCs w:val="24"/>
              </w:rPr>
              <w:t xml:space="preserve"> 18</w:t>
            </w:r>
          </w:p>
        </w:tc>
        <w:tc>
          <w:tcPr>
            <w:tcW w:w="4681"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57260B">
        <w:tc>
          <w:tcPr>
            <w:tcW w:w="4679"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4681"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bl>
    <w:p w:rsidR="0057260B" w:rsidRDefault="0057260B">
      <w:pPr>
        <w:rPr>
          <w:rFonts w:ascii="Times New Roman" w:eastAsia="Times New Roman" w:hAnsi="Times New Roman" w:cs="Times New Roman"/>
          <w:b/>
          <w:i/>
          <w:sz w:val="24"/>
          <w:szCs w:val="24"/>
        </w:rPr>
      </w:pP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this is a self-support program through University Extension, enrollment numbers are always carefully tracked. Multiple marketing campaigns have been successful and enrollment has increased since 2012-2013. The last three years have been steady. </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extent cx="3657600" cy="2743200"/>
            <wp:effectExtent l="0" t="0" r="0" b="0"/>
            <wp:docPr id="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2"/>
                    <a:srcRect/>
                    <a:stretch>
                      <a:fillRect/>
                    </a:stretch>
                  </pic:blipFill>
                  <pic:spPr>
                    <a:xfrm>
                      <a:off x="0" y="0"/>
                      <a:ext cx="3657600" cy="2743200"/>
                    </a:xfrm>
                    <a:prstGeom prst="rect">
                      <a:avLst/>
                    </a:prstGeom>
                    <a:ln/>
                  </pic:spPr>
                </pic:pic>
              </a:graphicData>
            </a:graphic>
          </wp:inline>
        </w:drawing>
      </w:r>
    </w:p>
    <w:p w:rsidR="0057260B" w:rsidRDefault="00B00FC3">
      <w:pPr>
        <w:ind w:firstLine="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Enrollment Trends </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year, 21 students graduated with the M.S. Ed, Concentration in Online Teaching and Learning degree. There were 18 female students and 3 male students. The age range was 23 – 72 years old with the average age being 37 years old</w:t>
      </w:r>
      <w:r>
        <w:rPr>
          <w:rFonts w:ascii="Times New Roman" w:eastAsia="Times New Roman" w:hAnsi="Times New Roman" w:cs="Times New Roman"/>
          <w:sz w:val="24"/>
          <w:szCs w:val="24"/>
        </w:rPr>
        <w:t xml:space="preserve"> at graduation. Ethnicity: European-7, Chinese-1, Salvadoran-3, Filipino-1, Black/African American-1, Asian-2,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or Declined to state-6. </w:t>
      </w:r>
    </w:p>
    <w:tbl>
      <w:tblPr>
        <w:tblStyle w:val="a1"/>
        <w:tblW w:w="93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7"/>
        <w:gridCol w:w="4673"/>
      </w:tblGrid>
      <w:tr w:rsidR="0057260B">
        <w:tc>
          <w:tcPr>
            <w:tcW w:w="4687"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Years to Graduate</w:t>
            </w:r>
          </w:p>
        </w:tc>
        <w:tc>
          <w:tcPr>
            <w:tcW w:w="4673"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Count</w:t>
            </w:r>
          </w:p>
        </w:tc>
      </w:tr>
      <w:tr w:rsidR="0057260B">
        <w:tc>
          <w:tcPr>
            <w:tcW w:w="4687"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73"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57260B">
        <w:tc>
          <w:tcPr>
            <w:tcW w:w="4687"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73"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57260B">
        <w:tc>
          <w:tcPr>
            <w:tcW w:w="4687"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673" w:type="dxa"/>
          </w:tcPr>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92758E" w:rsidRDefault="0092758E">
      <w:pPr>
        <w:ind w:left="360"/>
        <w:rPr>
          <w:rFonts w:ascii="Times New Roman" w:eastAsia="Times New Roman" w:hAnsi="Times New Roman" w:cs="Times New Roman"/>
          <w:b/>
          <w:i/>
          <w:sz w:val="24"/>
          <w:szCs w:val="24"/>
        </w:rPr>
      </w:pP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i/>
          <w:noProof/>
          <w:sz w:val="24"/>
          <w:szCs w:val="24"/>
        </w:rPr>
        <w:drawing>
          <wp:inline distT="0" distB="0" distL="0" distR="0">
            <wp:extent cx="6035040" cy="2165985"/>
            <wp:effectExtent l="0" t="0" r="0" b="0"/>
            <wp:docPr id="7" name="image17.gif"/>
            <wp:cNvGraphicFramePr/>
            <a:graphic xmlns:a="http://schemas.openxmlformats.org/drawingml/2006/main">
              <a:graphicData uri="http://schemas.openxmlformats.org/drawingml/2006/picture">
                <pic:pic xmlns:pic="http://schemas.openxmlformats.org/drawingml/2006/picture">
                  <pic:nvPicPr>
                    <pic:cNvPr id="0" name="image17.gif"/>
                    <pic:cNvPicPr preferRelativeResize="0"/>
                  </pic:nvPicPr>
                  <pic:blipFill>
                    <a:blip r:embed="rId13"/>
                    <a:srcRect/>
                    <a:stretch>
                      <a:fillRect/>
                    </a:stretch>
                  </pic:blipFill>
                  <pic:spPr>
                    <a:xfrm>
                      <a:off x="0" y="0"/>
                      <a:ext cx="6035040" cy="2165985"/>
                    </a:xfrm>
                    <a:prstGeom prst="rect">
                      <a:avLst/>
                    </a:prstGeom>
                    <a:ln/>
                  </pic:spPr>
                </pic:pic>
              </a:graphicData>
            </a:graphic>
          </wp:inline>
        </w:drawing>
      </w:r>
      <w:r>
        <w:rPr>
          <w:rFonts w:ascii="Times New Roman" w:eastAsia="Times New Roman" w:hAnsi="Times New Roman" w:cs="Times New Roman"/>
          <w:b/>
          <w:i/>
          <w:sz w:val="24"/>
          <w:szCs w:val="24"/>
        </w:rPr>
        <w:t>Admitted applicants during open enrollment terms (</w:t>
      </w:r>
      <w:proofErr w:type="gramStart"/>
      <w:r>
        <w:rPr>
          <w:rFonts w:ascii="Times New Roman" w:eastAsia="Times New Roman" w:hAnsi="Times New Roman" w:cs="Times New Roman"/>
          <w:b/>
          <w:i/>
          <w:sz w:val="24"/>
          <w:szCs w:val="24"/>
        </w:rPr>
        <w:t>Fall</w:t>
      </w:r>
      <w:proofErr w:type="gramEnd"/>
      <w:r>
        <w:rPr>
          <w:rFonts w:ascii="Times New Roman" w:eastAsia="Times New Roman" w:hAnsi="Times New Roman" w:cs="Times New Roman"/>
          <w:b/>
          <w:i/>
          <w:sz w:val="24"/>
          <w:szCs w:val="24"/>
        </w:rPr>
        <w:t xml:space="preserve"> and Spring)</w:t>
      </w:r>
      <w:r>
        <w:rPr>
          <w:rFonts w:ascii="Times New Roman" w:eastAsia="Times New Roman" w:hAnsi="Times New Roman" w:cs="Times New Roman"/>
          <w:i/>
          <w:sz w:val="24"/>
          <w:szCs w:val="24"/>
        </w:rPr>
        <w:br/>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4 new instructors this past year. Previously, all instructors who taught in the program had been teaching the same courses for over 10 years. The changes were due to </w:t>
      </w:r>
      <w:r>
        <w:rPr>
          <w:rFonts w:ascii="Times New Roman" w:eastAsia="Times New Roman" w:hAnsi="Times New Roman" w:cs="Times New Roman"/>
          <w:sz w:val="24"/>
          <w:szCs w:val="24"/>
        </w:rPr>
        <w:lastRenderedPageBreak/>
        <w:t>retirement and health issues. Our online instructors work remotely and are loca</w:t>
      </w:r>
      <w:r>
        <w:rPr>
          <w:rFonts w:ascii="Times New Roman" w:eastAsia="Times New Roman" w:hAnsi="Times New Roman" w:cs="Times New Roman"/>
          <w:sz w:val="24"/>
          <w:szCs w:val="24"/>
        </w:rPr>
        <w:t>ted in Colorado, England, Washington, DC, Palo Alto, CA, and Texas.  Our instructors are hired through University Extension with a temporary contract for each course. Each instructor teaches two courses each year on the average. The salary schedule is “Ins</w:t>
      </w:r>
      <w:r>
        <w:rPr>
          <w:rFonts w:ascii="Times New Roman" w:eastAsia="Times New Roman" w:hAnsi="Times New Roman" w:cs="Times New Roman"/>
          <w:sz w:val="24"/>
          <w:szCs w:val="24"/>
        </w:rPr>
        <w:t>tructional Faculty, Special Programs,” class code 2322. The salary is determined by the number of students in the particular course taught.</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One instructor will be retiring at the end of January, 2019 and four courses (including the Capstone Project course)</w:t>
      </w:r>
      <w:r>
        <w:rPr>
          <w:rFonts w:ascii="Times New Roman" w:eastAsia="Times New Roman" w:hAnsi="Times New Roman" w:cs="Times New Roman"/>
          <w:sz w:val="24"/>
          <w:szCs w:val="24"/>
        </w:rPr>
        <w:t xml:space="preserve"> will need new instructors.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t xml:space="preserve">Staff: </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Staff includes a full-time Director and Program Manager</w:t>
      </w:r>
      <w:r w:rsidR="009275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program director will be retiring at the end of January, 2019 and she also teaches the Capstone Project course. A </w:t>
      </w:r>
      <w:r>
        <w:rPr>
          <w:rFonts w:ascii="Times New Roman" w:eastAsia="Times New Roman" w:hAnsi="Times New Roman" w:cs="Times New Roman"/>
          <w:sz w:val="24"/>
          <w:szCs w:val="24"/>
        </w:rPr>
        <w:t xml:space="preserve">replacement </w:t>
      </w:r>
      <w:r>
        <w:rPr>
          <w:rFonts w:ascii="Times New Roman" w:eastAsia="Times New Roman" w:hAnsi="Times New Roman" w:cs="Times New Roman"/>
          <w:sz w:val="24"/>
          <w:szCs w:val="24"/>
        </w:rPr>
        <w:t xml:space="preserve">for 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2019 </w:t>
      </w:r>
      <w:r>
        <w:rPr>
          <w:rFonts w:ascii="Times New Roman" w:eastAsia="Times New Roman" w:hAnsi="Times New Roman" w:cs="Times New Roman"/>
          <w:sz w:val="24"/>
          <w:szCs w:val="24"/>
        </w:rPr>
        <w:t>semester is currently under review by Academic Affairs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br/>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Resources: </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MSEd</w:t>
      </w:r>
      <w:proofErr w:type="spellEnd"/>
      <w:r>
        <w:rPr>
          <w:rFonts w:ascii="Times New Roman" w:eastAsia="Times New Roman" w:hAnsi="Times New Roman" w:cs="Times New Roman"/>
          <w:sz w:val="24"/>
          <w:szCs w:val="24"/>
        </w:rPr>
        <w:t xml:space="preserve">-OTL program uses the University Extension facilities and equipment. </w:t>
      </w:r>
      <w:r>
        <w:rPr>
          <w:rFonts w:ascii="Times New Roman" w:eastAsia="Times New Roman" w:hAnsi="Times New Roman" w:cs="Times New Roman"/>
          <w:i/>
          <w:sz w:val="24"/>
          <w:szCs w:val="24"/>
        </w:rPr>
        <w:t xml:space="preserve"> </w:t>
      </w:r>
    </w:p>
    <w:p w:rsidR="0057260B" w:rsidRDefault="00B00FC3">
      <w:pPr>
        <w:pStyle w:val="Heading1"/>
        <w:numPr>
          <w:ilvl w:val="0"/>
          <w:numId w:val="1"/>
        </w:numPr>
        <w:ind w:left="-810"/>
        <w:rPr>
          <w:b w:val="0"/>
          <w:sz w:val="24"/>
          <w:szCs w:val="24"/>
        </w:rPr>
      </w:pPr>
      <w:r>
        <w:rPr>
          <w:sz w:val="24"/>
          <w:szCs w:val="24"/>
          <w:u w:val="single"/>
        </w:rPr>
        <w:t>SUMMARY OF ASSESSMENT</w:t>
      </w:r>
      <w:r>
        <w:rPr>
          <w:sz w:val="24"/>
          <w:szCs w:val="24"/>
        </w:rPr>
        <w:t xml:space="preserve"> (</w:t>
      </w:r>
      <w:r>
        <w:rPr>
          <w:b w:val="0"/>
          <w:i/>
          <w:sz w:val="24"/>
          <w:szCs w:val="24"/>
        </w:rPr>
        <w:t>suggested length of 1-2 pages)</w:t>
      </w:r>
      <w:r>
        <w:rPr>
          <w:b w:val="0"/>
          <w:sz w:val="24"/>
          <w:szCs w:val="24"/>
        </w:rPr>
        <w:t xml:space="preserve"> </w:t>
      </w:r>
    </w:p>
    <w:p w:rsidR="0057260B" w:rsidRDefault="0057260B">
      <w:pPr>
        <w:spacing w:after="0" w:line="240" w:lineRule="auto"/>
        <w:rPr>
          <w:rFonts w:ascii="Times New Roman" w:eastAsia="Times New Roman" w:hAnsi="Times New Roman" w:cs="Times New Roman"/>
          <w:b/>
          <w:smallCaps/>
          <w:sz w:val="24"/>
          <w:szCs w:val="24"/>
        </w:rPr>
      </w:pPr>
    </w:p>
    <w:p w:rsidR="0057260B" w:rsidRDefault="00B00FC3">
      <w:pPr>
        <w:keepNext/>
        <w:keepLines/>
        <w:numPr>
          <w:ilvl w:val="1"/>
          <w:numId w:val="1"/>
        </w:numPr>
        <w:spacing w:before="200" w:after="0"/>
        <w:ind w:left="9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 Learning Outcomes (PLO)</w:t>
      </w:r>
    </w:p>
    <w:p w:rsidR="0057260B" w:rsidRDefault="00B00FC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color w:val="000000"/>
          <w:sz w:val="24"/>
          <w:szCs w:val="24"/>
        </w:rPr>
        <w:t>List all your PLO in this box. Indicate for each PLO its alignment with one or more institutional learning outcomes (ILO). For example: “PLO 1. Apply advanced computer science theory to computation problems (ILO 2 &amp; 6).”</w:t>
      </w:r>
    </w:p>
    <w:p w:rsidR="0057260B" w:rsidRDefault="00B00FC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PLO</w:t>
      </w:r>
      <w:r>
        <w:rPr>
          <w:rFonts w:ascii="Times New Roman" w:eastAsia="Times New Roman" w:hAnsi="Times New Roman" w:cs="Times New Roman"/>
          <w:b/>
          <w:sz w:val="24"/>
          <w:szCs w:val="24"/>
        </w:rPr>
        <w:t>s</w:t>
      </w:r>
    </w:p>
    <w:p w:rsidR="0057260B" w:rsidRDefault="00B00FC3">
      <w:pPr>
        <w:numPr>
          <w:ilvl w:val="0"/>
          <w:numId w:val="3"/>
        </w:numPr>
        <w:spacing w:after="0"/>
        <w:contextualSpacing/>
      </w:pPr>
      <w:r>
        <w:rPr>
          <w:rFonts w:ascii="Times New Roman" w:eastAsia="Times New Roman" w:hAnsi="Times New Roman" w:cs="Times New Roman"/>
        </w:rPr>
        <w:t>Create a high quality, interactive online course in their discipline that demonstrates knowledge of learning theory and instructional design.</w:t>
      </w:r>
    </w:p>
    <w:p w:rsidR="0057260B" w:rsidRDefault="00B00FC3">
      <w:pPr>
        <w:numPr>
          <w:ilvl w:val="0"/>
          <w:numId w:val="3"/>
        </w:numPr>
        <w:spacing w:after="0"/>
        <w:contextualSpacing/>
      </w:pPr>
      <w:r>
        <w:rPr>
          <w:rFonts w:ascii="Times New Roman" w:eastAsia="Times New Roman" w:hAnsi="Times New Roman" w:cs="Times New Roman"/>
        </w:rPr>
        <w:t>Create a high quality, interactive online course in their discipline that applies understanding of recent techno</w:t>
      </w:r>
      <w:r>
        <w:rPr>
          <w:rFonts w:ascii="Times New Roman" w:eastAsia="Times New Roman" w:hAnsi="Times New Roman" w:cs="Times New Roman"/>
        </w:rPr>
        <w:t xml:space="preserve">logies. </w:t>
      </w:r>
    </w:p>
    <w:p w:rsidR="0057260B" w:rsidRDefault="00B00FC3">
      <w:pPr>
        <w:numPr>
          <w:ilvl w:val="0"/>
          <w:numId w:val="3"/>
        </w:numPr>
        <w:spacing w:after="0"/>
        <w:contextualSpacing/>
      </w:pPr>
      <w:r>
        <w:rPr>
          <w:rFonts w:ascii="Times New Roman" w:eastAsia="Times New Roman" w:hAnsi="Times New Roman" w:cs="Times New Roman"/>
        </w:rPr>
        <w:t xml:space="preserve">Incorporate recommendations of recent research in online teaching and learning in the online course. </w:t>
      </w:r>
    </w:p>
    <w:p w:rsidR="0057260B" w:rsidRDefault="00B00FC3">
      <w:pPr>
        <w:numPr>
          <w:ilvl w:val="0"/>
          <w:numId w:val="3"/>
        </w:numPr>
        <w:spacing w:after="0"/>
        <w:contextualSpacing/>
      </w:pPr>
      <w:r>
        <w:rPr>
          <w:rFonts w:ascii="Times New Roman" w:eastAsia="Times New Roman" w:hAnsi="Times New Roman" w:cs="Times New Roman"/>
        </w:rPr>
        <w:t>Apply knowledge of learning differences and disabilities.</w:t>
      </w:r>
    </w:p>
    <w:p w:rsidR="0057260B" w:rsidRDefault="00B00FC3">
      <w:pPr>
        <w:numPr>
          <w:ilvl w:val="0"/>
          <w:numId w:val="3"/>
        </w:numPr>
        <w:spacing w:after="0"/>
        <w:contextualSpacing/>
      </w:pPr>
      <w:r>
        <w:rPr>
          <w:rFonts w:ascii="Times New Roman" w:eastAsia="Times New Roman" w:hAnsi="Times New Roman" w:cs="Times New Roman"/>
        </w:rPr>
        <w:t>Describe a rationale for the design features of the online course created, citing speci</w:t>
      </w:r>
      <w:r>
        <w:rPr>
          <w:rFonts w:ascii="Times New Roman" w:eastAsia="Times New Roman" w:hAnsi="Times New Roman" w:cs="Times New Roman"/>
        </w:rPr>
        <w:t>fic supporting research and best practices based on a comprehensive review of the literature related to online teaching and learning in their disciplines.</w:t>
      </w:r>
    </w:p>
    <w:p w:rsidR="0057260B" w:rsidRDefault="0057260B">
      <w:pPr>
        <w:spacing w:line="240" w:lineRule="auto"/>
        <w:rPr>
          <w:rFonts w:ascii="Times New Roman" w:eastAsia="Times New Roman" w:hAnsi="Times New Roman" w:cs="Times New Roman"/>
          <w:b/>
          <w:sz w:val="24"/>
          <w:szCs w:val="24"/>
        </w:rPr>
      </w:pPr>
    </w:p>
    <w:p w:rsidR="0092758E" w:rsidRDefault="0092758E">
      <w:pPr>
        <w:spacing w:line="240" w:lineRule="auto"/>
        <w:rPr>
          <w:rFonts w:ascii="Times New Roman" w:eastAsia="Times New Roman" w:hAnsi="Times New Roman" w:cs="Times New Roman"/>
          <w:b/>
          <w:sz w:val="24"/>
          <w:szCs w:val="24"/>
        </w:rPr>
      </w:pPr>
    </w:p>
    <w:p w:rsidR="0092758E" w:rsidRDefault="0092758E">
      <w:pPr>
        <w:spacing w:line="240" w:lineRule="auto"/>
        <w:rPr>
          <w:rFonts w:ascii="Times New Roman" w:eastAsia="Times New Roman" w:hAnsi="Times New Roman" w:cs="Times New Roman"/>
          <w:b/>
          <w:sz w:val="24"/>
          <w:szCs w:val="24"/>
        </w:rPr>
      </w:pPr>
    </w:p>
    <w:p w:rsidR="0092758E" w:rsidRDefault="0092758E">
      <w:pPr>
        <w:spacing w:line="240" w:lineRule="auto"/>
        <w:rPr>
          <w:rFonts w:ascii="Times New Roman" w:eastAsia="Times New Roman" w:hAnsi="Times New Roman" w:cs="Times New Roman"/>
          <w:b/>
          <w:sz w:val="24"/>
          <w:szCs w:val="24"/>
        </w:rPr>
      </w:pPr>
    </w:p>
    <w:p w:rsidR="0092758E" w:rsidRDefault="0092758E">
      <w:pPr>
        <w:spacing w:line="240" w:lineRule="auto"/>
        <w:rPr>
          <w:rFonts w:ascii="Times New Roman" w:eastAsia="Times New Roman" w:hAnsi="Times New Roman" w:cs="Times New Roman"/>
          <w:b/>
          <w:sz w:val="24"/>
          <w:szCs w:val="24"/>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260B">
        <w:tc>
          <w:tcPr>
            <w:tcW w:w="9576" w:type="dxa"/>
          </w:tcPr>
          <w:p w:rsidR="0057260B" w:rsidRDefault="0057260B">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1"/>
              <w:gridCol w:w="884"/>
              <w:gridCol w:w="884"/>
              <w:gridCol w:w="867"/>
              <w:gridCol w:w="867"/>
              <w:gridCol w:w="867"/>
            </w:tblGrid>
            <w:tr w:rsidR="0057260B">
              <w:trPr>
                <w:trHeight w:val="340"/>
              </w:trPr>
              <w:tc>
                <w:tcPr>
                  <w:tcW w:w="4981" w:type="dxa"/>
                </w:tcPr>
                <w:p w:rsidR="0057260B" w:rsidRDefault="00B00FC3">
                  <w:pPr>
                    <w:rPr>
                      <w:b/>
                    </w:rPr>
                  </w:pPr>
                  <w:r>
                    <w:rPr>
                      <w:b/>
                    </w:rPr>
                    <w:t>Institutional Learning Outcomes</w:t>
                  </w:r>
                </w:p>
              </w:tc>
              <w:tc>
                <w:tcPr>
                  <w:tcW w:w="884" w:type="dxa"/>
                </w:tcPr>
                <w:p w:rsidR="0057260B" w:rsidRDefault="00B00FC3">
                  <w:r>
                    <w:t>PLO 1</w:t>
                  </w:r>
                </w:p>
              </w:tc>
              <w:tc>
                <w:tcPr>
                  <w:tcW w:w="884" w:type="dxa"/>
                </w:tcPr>
                <w:p w:rsidR="0057260B" w:rsidRDefault="00B00FC3">
                  <w:r>
                    <w:t>PLO 2</w:t>
                  </w:r>
                </w:p>
              </w:tc>
              <w:tc>
                <w:tcPr>
                  <w:tcW w:w="867" w:type="dxa"/>
                </w:tcPr>
                <w:p w:rsidR="0057260B" w:rsidRDefault="00B00FC3">
                  <w:r>
                    <w:t>PLO 3</w:t>
                  </w:r>
                </w:p>
              </w:tc>
              <w:tc>
                <w:tcPr>
                  <w:tcW w:w="867" w:type="dxa"/>
                </w:tcPr>
                <w:p w:rsidR="0057260B" w:rsidRDefault="00B00FC3">
                  <w:r>
                    <w:t>PLO 4</w:t>
                  </w:r>
                </w:p>
              </w:tc>
              <w:tc>
                <w:tcPr>
                  <w:tcW w:w="867" w:type="dxa"/>
                </w:tcPr>
                <w:p w:rsidR="0057260B" w:rsidRDefault="00B00FC3">
                  <w:r>
                    <w:t>PLO 5</w:t>
                  </w:r>
                </w:p>
              </w:tc>
            </w:tr>
            <w:tr w:rsidR="0057260B">
              <w:trPr>
                <w:trHeight w:val="1100"/>
              </w:trPr>
              <w:tc>
                <w:tcPr>
                  <w:tcW w:w="4981" w:type="dxa"/>
                </w:tcPr>
                <w:p w:rsidR="0057260B" w:rsidRDefault="00B00FC3">
                  <w:r>
                    <w:rPr>
                      <w:b/>
                    </w:rPr>
                    <w:t xml:space="preserve">Thinking and Reasoning: </w:t>
                  </w:r>
                  <w:r>
                    <w:t>think critically and creatively and apply analytical and quantitative reasoning to address complex challenges and everyday problems.</w:t>
                  </w:r>
                </w:p>
              </w:tc>
              <w:tc>
                <w:tcPr>
                  <w:tcW w:w="884" w:type="dxa"/>
                </w:tcPr>
                <w:p w:rsidR="0057260B" w:rsidRDefault="00B00FC3">
                  <w:r>
                    <w:t>X</w:t>
                  </w:r>
                </w:p>
              </w:tc>
              <w:tc>
                <w:tcPr>
                  <w:tcW w:w="884" w:type="dxa"/>
                </w:tcPr>
                <w:p w:rsidR="0057260B" w:rsidRDefault="00B00FC3">
                  <w:r>
                    <w:t>X</w:t>
                  </w:r>
                </w:p>
              </w:tc>
              <w:tc>
                <w:tcPr>
                  <w:tcW w:w="867" w:type="dxa"/>
                </w:tcPr>
                <w:p w:rsidR="0057260B" w:rsidRDefault="00B00FC3">
                  <w:r>
                    <w:t>X</w:t>
                  </w:r>
                </w:p>
              </w:tc>
              <w:tc>
                <w:tcPr>
                  <w:tcW w:w="867" w:type="dxa"/>
                </w:tcPr>
                <w:p w:rsidR="0057260B" w:rsidRDefault="00B00FC3">
                  <w:r>
                    <w:t>X</w:t>
                  </w:r>
                </w:p>
              </w:tc>
              <w:tc>
                <w:tcPr>
                  <w:tcW w:w="867" w:type="dxa"/>
                </w:tcPr>
                <w:p w:rsidR="0057260B" w:rsidRDefault="00B00FC3">
                  <w:r>
                    <w:t>X</w:t>
                  </w:r>
                </w:p>
              </w:tc>
            </w:tr>
            <w:tr w:rsidR="0057260B">
              <w:trPr>
                <w:trHeight w:val="880"/>
              </w:trPr>
              <w:tc>
                <w:tcPr>
                  <w:tcW w:w="4981" w:type="dxa"/>
                </w:tcPr>
                <w:p w:rsidR="0057260B" w:rsidRDefault="00B00FC3">
                  <w:r>
                    <w:rPr>
                      <w:b/>
                    </w:rPr>
                    <w:t xml:space="preserve">Communication: </w:t>
                  </w:r>
                  <w:r>
                    <w:t xml:space="preserve">communicate ideas, perspectives, and values clearly and persuasively while listening openly to others. </w:t>
                  </w:r>
                </w:p>
              </w:tc>
              <w:tc>
                <w:tcPr>
                  <w:tcW w:w="884" w:type="dxa"/>
                </w:tcPr>
                <w:p w:rsidR="0057260B" w:rsidRDefault="00B00FC3">
                  <w:r>
                    <w:t>X</w:t>
                  </w:r>
                </w:p>
              </w:tc>
              <w:tc>
                <w:tcPr>
                  <w:tcW w:w="884" w:type="dxa"/>
                </w:tcPr>
                <w:p w:rsidR="0057260B" w:rsidRDefault="00B00FC3">
                  <w:r>
                    <w:t>X</w:t>
                  </w:r>
                </w:p>
              </w:tc>
              <w:tc>
                <w:tcPr>
                  <w:tcW w:w="867" w:type="dxa"/>
                </w:tcPr>
                <w:p w:rsidR="0057260B" w:rsidRDefault="00B00FC3">
                  <w:r>
                    <w:t>X</w:t>
                  </w:r>
                </w:p>
              </w:tc>
              <w:tc>
                <w:tcPr>
                  <w:tcW w:w="867" w:type="dxa"/>
                </w:tcPr>
                <w:p w:rsidR="0057260B" w:rsidRDefault="00B00FC3">
                  <w:r>
                    <w:t>X</w:t>
                  </w:r>
                </w:p>
              </w:tc>
              <w:tc>
                <w:tcPr>
                  <w:tcW w:w="867" w:type="dxa"/>
                </w:tcPr>
                <w:p w:rsidR="0057260B" w:rsidRDefault="00B00FC3">
                  <w:r>
                    <w:t>X</w:t>
                  </w:r>
                </w:p>
              </w:tc>
            </w:tr>
            <w:tr w:rsidR="0057260B">
              <w:trPr>
                <w:trHeight w:val="880"/>
              </w:trPr>
              <w:tc>
                <w:tcPr>
                  <w:tcW w:w="4981" w:type="dxa"/>
                </w:tcPr>
                <w:p w:rsidR="0057260B" w:rsidRDefault="00B00FC3">
                  <w:r>
                    <w:rPr>
                      <w:b/>
                    </w:rPr>
                    <w:t xml:space="preserve">Diversity:  </w:t>
                  </w:r>
                  <w:r>
                    <w:t>apply knowledge of diversity and multicultural competencies to promote equity and social justice in our communities.</w:t>
                  </w:r>
                </w:p>
              </w:tc>
              <w:tc>
                <w:tcPr>
                  <w:tcW w:w="884" w:type="dxa"/>
                </w:tcPr>
                <w:p w:rsidR="0057260B" w:rsidRDefault="00B00FC3">
                  <w:r>
                    <w:t>X</w:t>
                  </w:r>
                </w:p>
              </w:tc>
              <w:tc>
                <w:tcPr>
                  <w:tcW w:w="884" w:type="dxa"/>
                </w:tcPr>
                <w:p w:rsidR="0057260B" w:rsidRDefault="00B00FC3">
                  <w:r>
                    <w:t>X</w:t>
                  </w:r>
                </w:p>
              </w:tc>
              <w:tc>
                <w:tcPr>
                  <w:tcW w:w="867" w:type="dxa"/>
                </w:tcPr>
                <w:p w:rsidR="0057260B" w:rsidRDefault="00B00FC3">
                  <w:r>
                    <w:t>X</w:t>
                  </w:r>
                </w:p>
              </w:tc>
              <w:tc>
                <w:tcPr>
                  <w:tcW w:w="867" w:type="dxa"/>
                </w:tcPr>
                <w:p w:rsidR="0057260B" w:rsidRDefault="00B00FC3">
                  <w:r>
                    <w:t>X</w:t>
                  </w:r>
                </w:p>
              </w:tc>
              <w:tc>
                <w:tcPr>
                  <w:tcW w:w="867" w:type="dxa"/>
                </w:tcPr>
                <w:p w:rsidR="0057260B" w:rsidRDefault="00B00FC3">
                  <w:r>
                    <w:t>X</w:t>
                  </w:r>
                </w:p>
              </w:tc>
            </w:tr>
            <w:tr w:rsidR="0057260B">
              <w:trPr>
                <w:trHeight w:val="880"/>
              </w:trPr>
              <w:tc>
                <w:tcPr>
                  <w:tcW w:w="4981" w:type="dxa"/>
                </w:tcPr>
                <w:p w:rsidR="0057260B" w:rsidRDefault="00B00FC3">
                  <w:r>
                    <w:rPr>
                      <w:b/>
                    </w:rPr>
                    <w:t>Collaboration</w:t>
                  </w:r>
                  <w:r>
                    <w:rPr>
                      <w:i/>
                    </w:rPr>
                    <w:t>:</w:t>
                  </w:r>
                  <w:r>
                    <w:t xml:space="preserve"> work collaboratively and respectfully as members and leaders of diverse teams and communities. </w:t>
                  </w:r>
                </w:p>
                <w:p w:rsidR="0057260B" w:rsidRDefault="0057260B"/>
              </w:tc>
              <w:tc>
                <w:tcPr>
                  <w:tcW w:w="884" w:type="dxa"/>
                </w:tcPr>
                <w:p w:rsidR="0057260B" w:rsidRDefault="00B00FC3">
                  <w:r>
                    <w:t>X</w:t>
                  </w:r>
                </w:p>
              </w:tc>
              <w:tc>
                <w:tcPr>
                  <w:tcW w:w="884" w:type="dxa"/>
                </w:tcPr>
                <w:p w:rsidR="0057260B" w:rsidRDefault="00B00FC3">
                  <w:r>
                    <w:t>X</w:t>
                  </w:r>
                </w:p>
              </w:tc>
              <w:tc>
                <w:tcPr>
                  <w:tcW w:w="867" w:type="dxa"/>
                </w:tcPr>
                <w:p w:rsidR="0057260B" w:rsidRDefault="00B00FC3">
                  <w:r>
                    <w:t>X</w:t>
                  </w:r>
                </w:p>
              </w:tc>
              <w:tc>
                <w:tcPr>
                  <w:tcW w:w="867" w:type="dxa"/>
                </w:tcPr>
                <w:p w:rsidR="0057260B" w:rsidRDefault="00B00FC3">
                  <w:r>
                    <w:t>X</w:t>
                  </w:r>
                </w:p>
              </w:tc>
              <w:tc>
                <w:tcPr>
                  <w:tcW w:w="867" w:type="dxa"/>
                </w:tcPr>
                <w:p w:rsidR="0057260B" w:rsidRDefault="00B00FC3">
                  <w:r>
                    <w:t>X</w:t>
                  </w:r>
                </w:p>
              </w:tc>
            </w:tr>
            <w:tr w:rsidR="0057260B">
              <w:trPr>
                <w:trHeight w:val="640"/>
              </w:trPr>
              <w:tc>
                <w:tcPr>
                  <w:tcW w:w="4981" w:type="dxa"/>
                </w:tcPr>
                <w:p w:rsidR="0057260B" w:rsidRDefault="00B00FC3">
                  <w:r>
                    <w:rPr>
                      <w:b/>
                    </w:rPr>
                    <w:t>Sustainability</w:t>
                  </w:r>
                  <w:r>
                    <w:rPr>
                      <w:i/>
                    </w:rPr>
                    <w:t>:</w:t>
                  </w:r>
                  <w:r>
                    <w:t xml:space="preserve"> act responsibly and sustainably at local, national, and global levels.</w:t>
                  </w:r>
                </w:p>
              </w:tc>
              <w:tc>
                <w:tcPr>
                  <w:tcW w:w="884" w:type="dxa"/>
                </w:tcPr>
                <w:p w:rsidR="0057260B" w:rsidRDefault="00B00FC3">
                  <w:r>
                    <w:t>X</w:t>
                  </w:r>
                </w:p>
              </w:tc>
              <w:tc>
                <w:tcPr>
                  <w:tcW w:w="884" w:type="dxa"/>
                </w:tcPr>
                <w:p w:rsidR="0057260B" w:rsidRDefault="00B00FC3">
                  <w:r>
                    <w:t>X</w:t>
                  </w:r>
                </w:p>
              </w:tc>
              <w:tc>
                <w:tcPr>
                  <w:tcW w:w="867" w:type="dxa"/>
                </w:tcPr>
                <w:p w:rsidR="0057260B" w:rsidRDefault="00B00FC3">
                  <w:r>
                    <w:t>X</w:t>
                  </w:r>
                </w:p>
              </w:tc>
              <w:tc>
                <w:tcPr>
                  <w:tcW w:w="867" w:type="dxa"/>
                </w:tcPr>
                <w:p w:rsidR="0057260B" w:rsidRDefault="00B00FC3">
                  <w:r>
                    <w:t>X</w:t>
                  </w:r>
                </w:p>
              </w:tc>
              <w:tc>
                <w:tcPr>
                  <w:tcW w:w="867" w:type="dxa"/>
                </w:tcPr>
                <w:p w:rsidR="0057260B" w:rsidRDefault="00B00FC3">
                  <w:r>
                    <w:t>X</w:t>
                  </w:r>
                </w:p>
              </w:tc>
            </w:tr>
          </w:tbl>
          <w:p w:rsidR="0057260B" w:rsidRDefault="0057260B">
            <w:pPr>
              <w:rPr>
                <w:rFonts w:ascii="Times New Roman" w:eastAsia="Times New Roman" w:hAnsi="Times New Roman" w:cs="Times New Roman"/>
                <w:sz w:val="24"/>
                <w:szCs w:val="24"/>
              </w:rPr>
            </w:pPr>
          </w:p>
          <w:p w:rsidR="0057260B" w:rsidRDefault="00B00FC3">
            <w:pPr>
              <w:tabs>
                <w:tab w:val="center" w:pos="4320"/>
              </w:tabs>
              <w:ind w:left="360"/>
              <w:jc w:val="both"/>
              <w:rPr>
                <w:rFonts w:ascii="Cambria" w:eastAsia="Cambria" w:hAnsi="Cambria" w:cs="Cambria"/>
                <w:sz w:val="20"/>
                <w:szCs w:val="20"/>
              </w:rPr>
            </w:pPr>
            <w:r>
              <w:rPr>
                <w:rFonts w:ascii="Cambria" w:eastAsia="Cambria" w:hAnsi="Cambria" w:cs="Cambria"/>
                <w:sz w:val="20"/>
                <w:szCs w:val="20"/>
              </w:rPr>
              <w:t xml:space="preserve">ILO 1: Thinking and reasoning – Critical thinking is required on all assignments. </w:t>
            </w:r>
          </w:p>
          <w:p w:rsidR="0057260B" w:rsidRDefault="00B00FC3">
            <w:pPr>
              <w:tabs>
                <w:tab w:val="center" w:pos="4320"/>
              </w:tabs>
              <w:ind w:left="360"/>
              <w:jc w:val="both"/>
              <w:rPr>
                <w:rFonts w:ascii="Cambria" w:eastAsia="Cambria" w:hAnsi="Cambria" w:cs="Cambria"/>
                <w:sz w:val="20"/>
                <w:szCs w:val="20"/>
              </w:rPr>
            </w:pPr>
            <w:r>
              <w:rPr>
                <w:rFonts w:ascii="Cambria" w:eastAsia="Cambria" w:hAnsi="Cambria" w:cs="Cambria"/>
                <w:sz w:val="20"/>
                <w:szCs w:val="20"/>
              </w:rPr>
              <w:t xml:space="preserve">ILO 2: Communication - Peer to peer communication is required on the discussion board. Instructor to student communication is required. </w:t>
            </w:r>
          </w:p>
          <w:p w:rsidR="0057260B" w:rsidRDefault="00B00FC3">
            <w:pPr>
              <w:tabs>
                <w:tab w:val="center" w:pos="4320"/>
              </w:tabs>
              <w:ind w:left="360"/>
              <w:jc w:val="both"/>
              <w:rPr>
                <w:rFonts w:ascii="Cambria" w:eastAsia="Cambria" w:hAnsi="Cambria" w:cs="Cambria"/>
                <w:sz w:val="20"/>
                <w:szCs w:val="20"/>
              </w:rPr>
            </w:pPr>
            <w:r>
              <w:rPr>
                <w:rFonts w:ascii="Cambria" w:eastAsia="Cambria" w:hAnsi="Cambria" w:cs="Cambria"/>
                <w:sz w:val="20"/>
                <w:szCs w:val="20"/>
              </w:rPr>
              <w:t>ILO 3: Diversity – The course is acc</w:t>
            </w:r>
            <w:r>
              <w:rPr>
                <w:rFonts w:ascii="Cambria" w:eastAsia="Cambria" w:hAnsi="Cambria" w:cs="Cambria"/>
                <w:sz w:val="20"/>
                <w:szCs w:val="20"/>
              </w:rPr>
              <w:t xml:space="preserve">essible to people with disabilities. The nature of the fully online environment lends itself to anonymity. Students do not know the race or class of other students and sometimes don’t know the gender if a name is unisex and used by both males and females. </w:t>
            </w:r>
          </w:p>
          <w:p w:rsidR="0057260B" w:rsidRDefault="00B00FC3">
            <w:pPr>
              <w:tabs>
                <w:tab w:val="center" w:pos="4320"/>
              </w:tabs>
              <w:ind w:left="360"/>
              <w:jc w:val="both"/>
              <w:rPr>
                <w:rFonts w:ascii="Cambria" w:eastAsia="Cambria" w:hAnsi="Cambria" w:cs="Cambria"/>
                <w:sz w:val="20"/>
                <w:szCs w:val="20"/>
              </w:rPr>
            </w:pPr>
            <w:r>
              <w:rPr>
                <w:rFonts w:ascii="Cambria" w:eastAsia="Cambria" w:hAnsi="Cambria" w:cs="Cambria"/>
                <w:sz w:val="20"/>
                <w:szCs w:val="20"/>
              </w:rPr>
              <w:t xml:space="preserve">ILO 4: Collaboration – Peer to peer collaboration is required on the discussion board. </w:t>
            </w:r>
          </w:p>
          <w:p w:rsidR="0057260B" w:rsidRDefault="00B00FC3">
            <w:pPr>
              <w:tabs>
                <w:tab w:val="center" w:pos="4320"/>
              </w:tabs>
              <w:ind w:left="360"/>
              <w:rPr>
                <w:rFonts w:ascii="Cambria" w:eastAsia="Cambria" w:hAnsi="Cambria" w:cs="Cambria"/>
                <w:sz w:val="20"/>
                <w:szCs w:val="20"/>
              </w:rPr>
            </w:pPr>
            <w:r>
              <w:rPr>
                <w:rFonts w:ascii="Cambria" w:eastAsia="Cambria" w:hAnsi="Cambria" w:cs="Cambria"/>
                <w:sz w:val="20"/>
                <w:szCs w:val="20"/>
              </w:rPr>
              <w:t>ILO 5: Sustainability – all learning activities, lessons, and assessments are online, saving paper.  “Paper production, distribution, use and disposal require large am</w:t>
            </w:r>
            <w:r>
              <w:rPr>
                <w:rFonts w:ascii="Cambria" w:eastAsia="Cambria" w:hAnsi="Cambria" w:cs="Cambria"/>
                <w:sz w:val="20"/>
                <w:szCs w:val="20"/>
              </w:rPr>
              <w:t xml:space="preserve">ounts of energy and raw materials. Wise use suggests streamlining systems through efficient tools (i.e. online platforms) to minimize unnecessary use and waste. “(Yale Office of Sustainability, </w:t>
            </w:r>
            <w:hyperlink r:id="rId14">
              <w:r>
                <w:rPr>
                  <w:rFonts w:ascii="Cambria" w:eastAsia="Cambria" w:hAnsi="Cambria" w:cs="Cambria"/>
                  <w:color w:val="0000FF"/>
                  <w:sz w:val="20"/>
                  <w:szCs w:val="20"/>
                  <w:u w:val="single"/>
                </w:rPr>
                <w:t>http://sustainability.yale.edu/participate/guide-going-green/paper-reduction-toolkit</w:t>
              </w:r>
            </w:hyperlink>
            <w:r>
              <w:rPr>
                <w:rFonts w:ascii="Cambria" w:eastAsia="Cambria" w:hAnsi="Cambria" w:cs="Cambria"/>
                <w:sz w:val="20"/>
                <w:szCs w:val="20"/>
              </w:rPr>
              <w:t>). Students are encouraged to take notes and collaborate electronically, saving paper and saving energy (gas for travel).  This is</w:t>
            </w:r>
            <w:r>
              <w:rPr>
                <w:rFonts w:ascii="Cambria" w:eastAsia="Cambria" w:hAnsi="Cambria" w:cs="Cambria"/>
                <w:sz w:val="20"/>
                <w:szCs w:val="20"/>
              </w:rPr>
              <w:t xml:space="preserve"> an alternative to driving and avoids carbon emissions. </w:t>
            </w:r>
          </w:p>
          <w:p w:rsidR="0057260B" w:rsidRDefault="00B00FC3">
            <w:pPr>
              <w:tabs>
                <w:tab w:val="center" w:pos="4320"/>
              </w:tabs>
              <w:ind w:left="360"/>
              <w:jc w:val="both"/>
              <w:rPr>
                <w:rFonts w:ascii="Cambria" w:eastAsia="Cambria" w:hAnsi="Cambria" w:cs="Cambria"/>
                <w:sz w:val="20"/>
                <w:szCs w:val="20"/>
              </w:rPr>
            </w:pPr>
            <w:r>
              <w:rPr>
                <w:rFonts w:ascii="Cambria" w:eastAsia="Cambria" w:hAnsi="Cambria" w:cs="Cambria"/>
                <w:sz w:val="20"/>
                <w:szCs w:val="20"/>
              </w:rPr>
              <w:t>ILO 6: Specialized Discipline – online teaching and learning</w:t>
            </w:r>
          </w:p>
          <w:p w:rsidR="0057260B" w:rsidRDefault="0057260B">
            <w:pPr>
              <w:rPr>
                <w:rFonts w:ascii="Times New Roman" w:eastAsia="Times New Roman" w:hAnsi="Times New Roman" w:cs="Times New Roman"/>
                <w:sz w:val="24"/>
                <w:szCs w:val="24"/>
              </w:rPr>
            </w:pPr>
          </w:p>
        </w:tc>
      </w:tr>
    </w:tbl>
    <w:p w:rsidR="0057260B" w:rsidRDefault="00B00FC3">
      <w:pPr>
        <w:pStyle w:val="Heading2"/>
        <w:numPr>
          <w:ilvl w:val="1"/>
          <w:numId w:val="1"/>
        </w:numPr>
        <w:ind w:left="90" w:hanging="360"/>
        <w:rPr>
          <w:b w:val="0"/>
          <w:smallCaps w:val="0"/>
          <w:color w:val="000000"/>
          <w:sz w:val="24"/>
          <w:szCs w:val="24"/>
        </w:rPr>
      </w:pPr>
      <w:r>
        <w:rPr>
          <w:smallCaps w:val="0"/>
          <w:sz w:val="24"/>
          <w:szCs w:val="24"/>
        </w:rPr>
        <w:t>Program Learning Outcome(S) Assessed</w:t>
      </w:r>
      <w:r>
        <w:rPr>
          <w:b w:val="0"/>
          <w:smallCaps w:val="0"/>
          <w:sz w:val="24"/>
          <w:szCs w:val="24"/>
        </w:rPr>
        <w:br/>
      </w:r>
      <w:r>
        <w:rPr>
          <w:b w:val="0"/>
          <w:i/>
          <w:smallCaps w:val="0"/>
          <w:color w:val="000000"/>
          <w:sz w:val="24"/>
          <w:szCs w:val="24"/>
        </w:rPr>
        <w:t>List the PLO(s) assessed. Provide a brief background on your program’s history of assessing the PLO(s) (e.g., annually, first time, part of other assessments, etc.)</w:t>
      </w:r>
    </w:p>
    <w:p w:rsidR="0057260B" w:rsidRDefault="0057260B"/>
    <w:p w:rsidR="0057260B" w:rsidRDefault="00B00FC3">
      <w:pPr>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The M.S. Ed, Concentration in Online Teaching and Learning program student learning outcom</w:t>
      </w:r>
      <w:r>
        <w:rPr>
          <w:rFonts w:ascii="Times New Roman" w:eastAsia="Times New Roman" w:hAnsi="Times New Roman" w:cs="Times New Roman"/>
          <w:color w:val="000000"/>
          <w:sz w:val="24"/>
          <w:szCs w:val="24"/>
        </w:rPr>
        <w:t>es are assessed using rubrics during the capstone courses. The capstone is the culmination of learning in the program, and measures what learners know, understand, apply, analyze, synthesize and evaluate the fundamental theory and practice in the disciplin</w:t>
      </w:r>
      <w:r>
        <w:rPr>
          <w:rFonts w:ascii="Times New Roman" w:eastAsia="Times New Roman" w:hAnsi="Times New Roman" w:cs="Times New Roman"/>
          <w:color w:val="000000"/>
          <w:sz w:val="24"/>
          <w:szCs w:val="24"/>
        </w:rPr>
        <w:t>e. The capstone has two components: a supporting paper consisting of 5 chapters and a developed online course. The paper entails a literature review, introduction of the learners, content, teaching/training experience, institutional constraints and opportu</w:t>
      </w:r>
      <w:r>
        <w:rPr>
          <w:rFonts w:ascii="Times New Roman" w:eastAsia="Times New Roman" w:hAnsi="Times New Roman" w:cs="Times New Roman"/>
          <w:color w:val="000000"/>
          <w:sz w:val="24"/>
          <w:szCs w:val="24"/>
        </w:rPr>
        <w:t>nities, why the course was designed, and particularly an online course. The paper also is the supporting document for bring</w:t>
      </w:r>
      <w:bookmarkStart w:id="1" w:name="_GoBack"/>
      <w:bookmarkEnd w:id="1"/>
      <w:r>
        <w:rPr>
          <w:rFonts w:ascii="Times New Roman" w:eastAsia="Times New Roman" w:hAnsi="Times New Roman" w:cs="Times New Roman"/>
          <w:color w:val="000000"/>
          <w:sz w:val="24"/>
          <w:szCs w:val="24"/>
        </w:rPr>
        <w:t xml:space="preserve">ing theory to practice and explains the decisions </w:t>
      </w:r>
      <w:r>
        <w:rPr>
          <w:rFonts w:ascii="Times New Roman" w:eastAsia="Times New Roman" w:hAnsi="Times New Roman" w:cs="Times New Roman"/>
          <w:color w:val="000000"/>
          <w:sz w:val="24"/>
          <w:szCs w:val="24"/>
        </w:rPr>
        <w:lastRenderedPageBreak/>
        <w:t>made in the actual online course design process.  The online course project demonst</w:t>
      </w:r>
      <w:r>
        <w:rPr>
          <w:rFonts w:ascii="Times New Roman" w:eastAsia="Times New Roman" w:hAnsi="Times New Roman" w:cs="Times New Roman"/>
          <w:color w:val="000000"/>
          <w:sz w:val="24"/>
          <w:szCs w:val="24"/>
        </w:rPr>
        <w:t xml:space="preserve">rates best practices in online teaching and learning.  </w:t>
      </w:r>
    </w:p>
    <w:p w:rsidR="0057260B" w:rsidRDefault="00B00FC3">
      <w:pPr>
        <w:rPr>
          <w:rFonts w:ascii="Times New Roman" w:eastAsia="Times New Roman" w:hAnsi="Times New Roman" w:cs="Times New Roman"/>
        </w:rPr>
      </w:pPr>
      <w:r>
        <w:rPr>
          <w:rFonts w:ascii="Times New Roman" w:eastAsia="Times New Roman" w:hAnsi="Times New Roman" w:cs="Times New Roman"/>
          <w:color w:val="000000"/>
          <w:sz w:val="24"/>
          <w:szCs w:val="24"/>
        </w:rPr>
        <w:t xml:space="preserve">This year, the design and development of the capstone online course was assessed. The first 2 PLOs relate to the online course development: </w:t>
      </w:r>
      <w:r>
        <w:rPr>
          <w:rFonts w:ascii="Times New Roman" w:eastAsia="Times New Roman" w:hAnsi="Times New Roman" w:cs="Times New Roman"/>
          <w:color w:val="000000"/>
          <w:sz w:val="24"/>
          <w:szCs w:val="24"/>
        </w:rPr>
        <w:br/>
      </w:r>
    </w:p>
    <w:p w:rsidR="0057260B" w:rsidRDefault="00B00FC3">
      <w:pPr>
        <w:rPr>
          <w:rFonts w:ascii="Times New Roman" w:eastAsia="Times New Roman" w:hAnsi="Times New Roman" w:cs="Times New Roman"/>
        </w:rPr>
      </w:pPr>
      <w:r>
        <w:rPr>
          <w:rFonts w:ascii="Times New Roman" w:eastAsia="Times New Roman" w:hAnsi="Times New Roman" w:cs="Times New Roman"/>
        </w:rPr>
        <w:t>1. Create a high quality, interactive online course in the</w:t>
      </w:r>
      <w:r>
        <w:rPr>
          <w:rFonts w:ascii="Times New Roman" w:eastAsia="Times New Roman" w:hAnsi="Times New Roman" w:cs="Times New Roman"/>
        </w:rPr>
        <w:t>ir discipline that demonstrates knowledge of learning theory and instructional design.</w:t>
      </w:r>
    </w:p>
    <w:p w:rsidR="0057260B" w:rsidRDefault="00B00FC3">
      <w:r>
        <w:rPr>
          <w:rFonts w:ascii="Times New Roman" w:eastAsia="Times New Roman" w:hAnsi="Times New Roman" w:cs="Times New Roman"/>
        </w:rPr>
        <w:t xml:space="preserve">2. Create a high quality, interactive online course in their discipline that applies understanding of recent technologies. </w:t>
      </w:r>
      <w:r>
        <w:rPr>
          <w:rFonts w:ascii="Times New Roman" w:eastAsia="Times New Roman" w:hAnsi="Times New Roman" w:cs="Times New Roman"/>
          <w:i/>
          <w:color w:val="000000"/>
          <w:sz w:val="24"/>
          <w:szCs w:val="24"/>
        </w:rPr>
        <w:br/>
      </w:r>
    </w:p>
    <w:p w:rsidR="0057260B" w:rsidRDefault="00B00FC3">
      <w:pPr>
        <w:pStyle w:val="Heading2"/>
        <w:numPr>
          <w:ilvl w:val="1"/>
          <w:numId w:val="1"/>
        </w:numPr>
        <w:ind w:left="90" w:hanging="360"/>
        <w:rPr>
          <w:b w:val="0"/>
          <w:smallCaps w:val="0"/>
          <w:sz w:val="24"/>
          <w:szCs w:val="24"/>
        </w:rPr>
      </w:pPr>
      <w:r>
        <w:rPr>
          <w:smallCaps w:val="0"/>
          <w:sz w:val="24"/>
          <w:szCs w:val="24"/>
        </w:rPr>
        <w:t>Summary of Assessment Process</w:t>
      </w:r>
    </w:p>
    <w:p w:rsidR="0057260B" w:rsidRDefault="00B00F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Summarize your</w:t>
      </w:r>
      <w:r>
        <w:rPr>
          <w:rFonts w:ascii="Times New Roman" w:eastAsia="Times New Roman" w:hAnsi="Times New Roman" w:cs="Times New Roman"/>
          <w:i/>
          <w:sz w:val="24"/>
          <w:szCs w:val="24"/>
        </w:rPr>
        <w:t xml:space="preserve"> assessment process briefly using the following sub-headings.</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Instrument(s): (</w:t>
      </w:r>
      <w:r>
        <w:rPr>
          <w:rFonts w:ascii="Times New Roman" w:eastAsia="Times New Roman" w:hAnsi="Times New Roman" w:cs="Times New Roman"/>
          <w:i/>
          <w:sz w:val="24"/>
          <w:szCs w:val="24"/>
        </w:rPr>
        <w:t>include if new or old instrument, how developed, description of content)</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assessment instrument was the Quality Matters rubric, fifth edition. This was the first time this rubric was used. It was selected because CSUEB added a student license to use this rubric for course development. Quality Matters (QM) is an international</w:t>
      </w:r>
      <w:r>
        <w:rPr>
          <w:rFonts w:ascii="Times New Roman" w:eastAsia="Times New Roman" w:hAnsi="Times New Roman" w:cs="Times New Roman"/>
          <w:sz w:val="24"/>
          <w:szCs w:val="24"/>
        </w:rPr>
        <w:t>, U.S.-based, non-profit organization specializing in standards, processes and professional development for quality assurance in online and blended learning. The rubric is based on research-supported and published best practices and uses a set of standards</w:t>
      </w:r>
      <w:r>
        <w:rPr>
          <w:rFonts w:ascii="Times New Roman" w:eastAsia="Times New Roman" w:hAnsi="Times New Roman" w:cs="Times New Roman"/>
          <w:sz w:val="24"/>
          <w:szCs w:val="24"/>
        </w:rPr>
        <w:t xml:space="preserve"> to review the design of online courses. The standards are listed in the Data Analysis chart below. </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Sampling Procedure:</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There were 22 capstone courses in the year. All capstone papers were included in the sample since the number is small.</w:t>
      </w:r>
      <w:r>
        <w:rPr>
          <w:rFonts w:ascii="Times New Roman" w:eastAsia="Times New Roman" w:hAnsi="Times New Roman" w:cs="Times New Roman"/>
          <w:b/>
          <w:sz w:val="24"/>
          <w:szCs w:val="24"/>
        </w:rPr>
        <w:br/>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Data Collectio</w:t>
      </w:r>
      <w:r>
        <w:rPr>
          <w:rFonts w:ascii="Times New Roman" w:eastAsia="Times New Roman" w:hAnsi="Times New Roman" w:cs="Times New Roman"/>
          <w:b/>
          <w:sz w:val="24"/>
          <w:szCs w:val="24"/>
        </w:rPr>
        <w:t>n:</w:t>
      </w:r>
      <w:r>
        <w:rPr>
          <w:rFonts w:ascii="Times New Roman" w:eastAsia="Times New Roman" w:hAnsi="Times New Roman" w:cs="Times New Roman"/>
          <w:sz w:val="24"/>
          <w:szCs w:val="24"/>
        </w:rPr>
        <w:t xml:space="preserve">  Data was collected from the capstone rubrics at the end of each capstone course by the director of the program and instructor for the course. The capstone course is offered every term. </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i/>
          <w:sz w:val="24"/>
          <w:szCs w:val="24"/>
        </w:rPr>
        <w:br/>
      </w:r>
      <w:r>
        <w:rPr>
          <w:rFonts w:ascii="Times New Roman" w:eastAsia="Times New Roman" w:hAnsi="Times New Roman" w:cs="Times New Roman"/>
          <w:b/>
          <w:sz w:val="24"/>
          <w:szCs w:val="24"/>
        </w:rPr>
        <w:t>Data Analysis:</w:t>
      </w:r>
    </w:p>
    <w:tbl>
      <w:tblPr>
        <w:tblStyle w:val="a4"/>
        <w:tblW w:w="936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838"/>
        <w:gridCol w:w="2084"/>
        <w:gridCol w:w="1977"/>
        <w:gridCol w:w="1561"/>
      </w:tblGrid>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Category</w:t>
            </w:r>
          </w:p>
        </w:tc>
        <w:tc>
          <w:tcPr>
            <w:tcW w:w="1838"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Missing</w:t>
            </w:r>
          </w:p>
        </w:tc>
        <w:tc>
          <w:tcPr>
            <w:tcW w:w="2084"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Unacceptable</w:t>
            </w:r>
          </w:p>
        </w:tc>
        <w:tc>
          <w:tcPr>
            <w:tcW w:w="1977"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Meets Expectations</w:t>
            </w: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Exceeds Expectations</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and Overview</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Assessment and Measurement</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57260B">
            <w:pPr>
              <w:rPr>
                <w:rFonts w:ascii="Times New Roman" w:eastAsia="Times New Roman" w:hAnsi="Times New Roman" w:cs="Times New Roman"/>
                <w:b/>
                <w:sz w:val="24"/>
                <w:szCs w:val="24"/>
              </w:rPr>
            </w:pP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Instructional Materials</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Activities and Learner Interaction</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57260B">
            <w:pPr>
              <w:rPr>
                <w:rFonts w:ascii="Times New Roman" w:eastAsia="Times New Roman" w:hAnsi="Times New Roman" w:cs="Times New Roman"/>
                <w:b/>
                <w:sz w:val="24"/>
                <w:szCs w:val="24"/>
              </w:rPr>
            </w:pP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Technology</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57260B">
            <w:pPr>
              <w:rPr>
                <w:rFonts w:ascii="Times New Roman" w:eastAsia="Times New Roman" w:hAnsi="Times New Roman" w:cs="Times New Roman"/>
                <w:b/>
                <w:sz w:val="24"/>
                <w:szCs w:val="24"/>
              </w:rPr>
            </w:pP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Learner Support</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57260B">
        <w:tc>
          <w:tcPr>
            <w:tcW w:w="1900"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Accessibility and Usability</w:t>
            </w:r>
          </w:p>
        </w:tc>
        <w:tc>
          <w:tcPr>
            <w:tcW w:w="1838" w:type="dxa"/>
          </w:tcPr>
          <w:p w:rsidR="0057260B" w:rsidRDefault="0057260B">
            <w:pPr>
              <w:rPr>
                <w:rFonts w:ascii="Times New Roman" w:eastAsia="Times New Roman" w:hAnsi="Times New Roman" w:cs="Times New Roman"/>
                <w:b/>
                <w:sz w:val="24"/>
                <w:szCs w:val="24"/>
              </w:rPr>
            </w:pPr>
          </w:p>
        </w:tc>
        <w:tc>
          <w:tcPr>
            <w:tcW w:w="2084" w:type="dxa"/>
          </w:tcPr>
          <w:p w:rsidR="0057260B" w:rsidRDefault="0057260B">
            <w:pPr>
              <w:rPr>
                <w:rFonts w:ascii="Times New Roman" w:eastAsia="Times New Roman" w:hAnsi="Times New Roman" w:cs="Times New Roman"/>
                <w:b/>
                <w:sz w:val="24"/>
                <w:szCs w:val="24"/>
              </w:rPr>
            </w:pPr>
          </w:p>
        </w:tc>
        <w:tc>
          <w:tcPr>
            <w:tcW w:w="1977"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561" w:type="dxa"/>
          </w:tcPr>
          <w:p w:rsidR="0057260B" w:rsidRDefault="00B00F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r>
    </w:tbl>
    <w:p w:rsidR="0057260B" w:rsidRDefault="0057260B">
      <w:pPr>
        <w:ind w:left="360"/>
        <w:rPr>
          <w:rFonts w:ascii="Times New Roman" w:eastAsia="Times New Roman" w:hAnsi="Times New Roman" w:cs="Times New Roman"/>
          <w:b/>
          <w:sz w:val="24"/>
          <w:szCs w:val="24"/>
        </w:rPr>
      </w:pPr>
    </w:p>
    <w:p w:rsidR="0057260B" w:rsidRDefault="00B00FC3">
      <w:pPr>
        <w:pStyle w:val="Heading2"/>
        <w:numPr>
          <w:ilvl w:val="1"/>
          <w:numId w:val="1"/>
        </w:numPr>
        <w:ind w:left="90" w:hanging="360"/>
        <w:rPr>
          <w:b w:val="0"/>
          <w:smallCaps w:val="0"/>
          <w:sz w:val="24"/>
          <w:szCs w:val="24"/>
        </w:rPr>
      </w:pPr>
      <w:proofErr w:type="gramStart"/>
      <w:r>
        <w:rPr>
          <w:smallCaps w:val="0"/>
          <w:sz w:val="24"/>
          <w:szCs w:val="24"/>
        </w:rPr>
        <w:t xml:space="preserve">Summary of Assessment Results </w:t>
      </w:r>
      <w:r>
        <w:rPr>
          <w:b w:val="0"/>
          <w:smallCaps w:val="0"/>
          <w:sz w:val="24"/>
          <w:szCs w:val="24"/>
        </w:rPr>
        <w:br/>
      </w:r>
      <w:r>
        <w:rPr>
          <w:b w:val="0"/>
          <w:i/>
          <w:smallCaps w:val="0"/>
          <w:sz w:val="24"/>
          <w:szCs w:val="24"/>
        </w:rPr>
        <w:t>Summarize your assessment results briefly using the following sub-headings</w:t>
      </w:r>
      <w:r>
        <w:rPr>
          <w:i/>
          <w:sz w:val="24"/>
          <w:szCs w:val="24"/>
        </w:rPr>
        <w:t>.</w:t>
      </w:r>
      <w:proofErr w:type="gramEnd"/>
      <w:r>
        <w:rPr>
          <w:i/>
          <w:sz w:val="24"/>
          <w:szCs w:val="24"/>
        </w:rPr>
        <w:br/>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Main Findings: </w:t>
      </w:r>
    </w:p>
    <w:p w:rsidR="0057260B" w:rsidRDefault="00B00FC3">
      <w:pPr>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online course development by capstone students met expectations or exceeded expectations. </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br/>
        <w:t>Recommendations for Program Improvement: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changes in course content, course sequence, student advising)</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the capstone process of iterative peer-reviews, live video conferencing with instructor and update with the Quality Matters,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Cons</w:t>
      </w:r>
      <w:r>
        <w:rPr>
          <w:rFonts w:ascii="Times New Roman" w:eastAsia="Times New Roman" w:hAnsi="Times New Roman" w:cs="Times New Roman"/>
          <w:sz w:val="24"/>
          <w:szCs w:val="24"/>
        </w:rPr>
        <w:t xml:space="preserve">ider including a practicum in the capstone course for students to gain experience in online facilitation. </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br/>
        <w:t xml:space="preserve">Next Step(s) for </w:t>
      </w:r>
      <w:proofErr w:type="gramStart"/>
      <w:r>
        <w:rPr>
          <w:rFonts w:ascii="Times New Roman" w:eastAsia="Times New Roman" w:hAnsi="Times New Roman" w:cs="Times New Roman"/>
          <w:b/>
          <w:sz w:val="24"/>
          <w:szCs w:val="24"/>
        </w:rPr>
        <w:t>Closing</w:t>
      </w:r>
      <w:proofErr w:type="gramEnd"/>
      <w:r>
        <w:rPr>
          <w:rFonts w:ascii="Times New Roman" w:eastAsia="Times New Roman" w:hAnsi="Times New Roman" w:cs="Times New Roman"/>
          <w:b/>
          <w:sz w:val="24"/>
          <w:szCs w:val="24"/>
        </w:rPr>
        <w:t xml:space="preserve"> the Loop: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recommendations to address findings, how &amp; when)</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sz w:val="24"/>
          <w:szCs w:val="24"/>
        </w:rPr>
        <w:t>Continue updating courses on an 18-month basis to reflect the latest research on online teaching and learning and technical development skills.</w:t>
      </w:r>
      <w:r>
        <w:rPr>
          <w:rFonts w:ascii="Times New Roman" w:eastAsia="Times New Roman" w:hAnsi="Times New Roman" w:cs="Times New Roman"/>
          <w:i/>
          <w:sz w:val="24"/>
          <w:szCs w:val="24"/>
        </w:rPr>
        <w:t xml:space="preserve"> </w:t>
      </w:r>
    </w:p>
    <w:p w:rsidR="0057260B" w:rsidRDefault="0057260B">
      <w:pPr>
        <w:ind w:left="360"/>
        <w:rPr>
          <w:rFonts w:ascii="Times New Roman" w:eastAsia="Times New Roman" w:hAnsi="Times New Roman" w:cs="Times New Roman"/>
          <w:b/>
          <w:smallCaps/>
          <w:sz w:val="24"/>
          <w:szCs w:val="24"/>
          <w:highlight w:val="yellow"/>
        </w:rPr>
      </w:pPr>
    </w:p>
    <w:p w:rsidR="0057260B" w:rsidRDefault="00B00FC3">
      <w:pPr>
        <w:pStyle w:val="Heading2"/>
        <w:numPr>
          <w:ilvl w:val="1"/>
          <w:numId w:val="1"/>
        </w:numPr>
        <w:ind w:left="90" w:hanging="360"/>
        <w:rPr>
          <w:b w:val="0"/>
          <w:smallCaps w:val="0"/>
          <w:sz w:val="24"/>
          <w:szCs w:val="24"/>
        </w:rPr>
      </w:pPr>
      <w:r>
        <w:rPr>
          <w:smallCaps w:val="0"/>
          <w:sz w:val="24"/>
          <w:szCs w:val="24"/>
        </w:rPr>
        <w:t>Assessment Plans for Next Year</w:t>
      </w:r>
    </w:p>
    <w:p w:rsidR="0057260B" w:rsidRDefault="00B00F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Summarize your assessment plans for the next year, including the PLO(s) you plan to assess, any revisions to the program assessment plan presented in your last five-year plan self-study, and any other relevant information.</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year PLO 3 and 4 will be ass</w:t>
      </w:r>
      <w:r>
        <w:rPr>
          <w:rFonts w:ascii="Times New Roman" w:eastAsia="Times New Roman" w:hAnsi="Times New Roman" w:cs="Times New Roman"/>
          <w:sz w:val="24"/>
          <w:szCs w:val="24"/>
        </w:rPr>
        <w:t>essed:</w:t>
      </w:r>
    </w:p>
    <w:p w:rsidR="0057260B" w:rsidRDefault="00B00FC3">
      <w:pPr>
        <w:numPr>
          <w:ilvl w:val="0"/>
          <w:numId w:val="3"/>
        </w:numPr>
        <w:spacing w:after="0"/>
        <w:contextualSpacing/>
      </w:pPr>
      <w:r w:rsidRPr="0092758E">
        <w:rPr>
          <w:rFonts w:ascii="Times New Roman" w:eastAsia="Times New Roman" w:hAnsi="Times New Roman" w:cs="Times New Roman"/>
          <w:sz w:val="24"/>
          <w:szCs w:val="24"/>
        </w:rPr>
        <w:t>1</w:t>
      </w:r>
      <w:r>
        <w:rPr>
          <w:rFonts w:ascii="Times New Roman" w:eastAsia="Times New Roman" w:hAnsi="Times New Roman" w:cs="Times New Roman"/>
        </w:rPr>
        <w:t>. I</w:t>
      </w:r>
      <w:r>
        <w:rPr>
          <w:rFonts w:ascii="Times New Roman" w:eastAsia="Times New Roman" w:hAnsi="Times New Roman" w:cs="Times New Roman"/>
        </w:rPr>
        <w:t xml:space="preserve">ncorporate recommendations of recent research in online teaching and learning in the online course. </w:t>
      </w:r>
    </w:p>
    <w:p w:rsidR="0057260B" w:rsidRDefault="00B00FC3">
      <w:pPr>
        <w:numPr>
          <w:ilvl w:val="0"/>
          <w:numId w:val="3"/>
        </w:numPr>
        <w:spacing w:after="0"/>
        <w:contextualSpacing/>
      </w:pPr>
      <w:r>
        <w:rPr>
          <w:rFonts w:ascii="Times New Roman" w:eastAsia="Times New Roman" w:hAnsi="Times New Roman" w:cs="Times New Roman"/>
        </w:rPr>
        <w:t>2</w:t>
      </w:r>
      <w:r>
        <w:rPr>
          <w:rFonts w:ascii="Times New Roman" w:eastAsia="Times New Roman" w:hAnsi="Times New Roman" w:cs="Times New Roman"/>
        </w:rPr>
        <w:t>. Apply knowledge of learning differences and disabilities.</w:t>
      </w:r>
    </w:p>
    <w:p w:rsidR="0057260B" w:rsidRDefault="0057260B">
      <w:pPr>
        <w:rPr>
          <w:rFonts w:ascii="Times New Roman" w:eastAsia="Times New Roman" w:hAnsi="Times New Roman" w:cs="Times New Roman"/>
          <w:i/>
          <w:sz w:val="24"/>
          <w:szCs w:val="24"/>
        </w:rPr>
      </w:pPr>
    </w:p>
    <w:p w:rsidR="0057260B" w:rsidRDefault="00B00FC3">
      <w:pPr>
        <w:pStyle w:val="Heading1"/>
        <w:numPr>
          <w:ilvl w:val="0"/>
          <w:numId w:val="1"/>
        </w:numPr>
        <w:ind w:left="-810"/>
        <w:rPr>
          <w:b w:val="0"/>
          <w:sz w:val="24"/>
          <w:szCs w:val="24"/>
          <w:u w:val="single"/>
        </w:rPr>
      </w:pPr>
      <w:r>
        <w:rPr>
          <w:sz w:val="24"/>
          <w:szCs w:val="24"/>
          <w:u w:val="single"/>
        </w:rPr>
        <w:lastRenderedPageBreak/>
        <w:t>DISCUSSION OF PROGRAM DATA &amp; RESOURCE REQUESTS</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Each program should provide a one-page discussion of the program data available through CAPR. This discussion should include an analysis of trends and areas of concern. Programs should also include in this discussion requests for additional resources inclu</w:t>
      </w:r>
      <w:r>
        <w:rPr>
          <w:rFonts w:ascii="Times New Roman" w:eastAsia="Times New Roman" w:hAnsi="Times New Roman" w:cs="Times New Roman"/>
          <w:i/>
          <w:sz w:val="24"/>
          <w:szCs w:val="24"/>
        </w:rPr>
        <w:t>ding space and tenure-track hires. Resource requests must be supported by reference to CAPR data only. Requests for tenure-track hires should indicate the area and rank that the program is requesting to hire. If a program is not requesting resources in tha</w:t>
      </w:r>
      <w:r>
        <w:rPr>
          <w:rFonts w:ascii="Times New Roman" w:eastAsia="Times New Roman" w:hAnsi="Times New Roman" w:cs="Times New Roman"/>
          <w:i/>
          <w:sz w:val="24"/>
          <w:szCs w:val="24"/>
        </w:rPr>
        <w:t>t year, indicate that no resources are requested.</w:t>
      </w:r>
      <w:r>
        <w:rPr>
          <w:rFonts w:ascii="Times New Roman" w:eastAsia="Times New Roman" w:hAnsi="Times New Roman" w:cs="Times New Roman"/>
          <w:sz w:val="24"/>
          <w:szCs w:val="24"/>
        </w:rPr>
        <w:t xml:space="preserve"> </w:t>
      </w:r>
    </w:p>
    <w:p w:rsidR="0057260B" w:rsidRDefault="00B00FC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resources are requested. </w:t>
      </w:r>
    </w:p>
    <w:p w:rsidR="0057260B" w:rsidRDefault="00B00FC3">
      <w:pPr>
        <w:pStyle w:val="Heading2"/>
        <w:numPr>
          <w:ilvl w:val="1"/>
          <w:numId w:val="1"/>
        </w:numPr>
        <w:ind w:left="90" w:hanging="360"/>
        <w:rPr>
          <w:b w:val="0"/>
          <w:sz w:val="24"/>
          <w:szCs w:val="24"/>
        </w:rPr>
      </w:pPr>
      <w:r>
        <w:rPr>
          <w:smallCaps w:val="0"/>
          <w:sz w:val="24"/>
          <w:szCs w:val="24"/>
        </w:rPr>
        <w:t>Discussion of Trends &amp; Reflections</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Notable Trends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Summarize and discuss any notable trends occurring in your program over the past 3-5 years based on program statistics (1-2 p</w:t>
      </w:r>
      <w:r>
        <w:rPr>
          <w:rFonts w:ascii="Times New Roman" w:eastAsia="Times New Roman" w:hAnsi="Times New Roman" w:cs="Times New Roman"/>
          <w:i/>
          <w:sz w:val="24"/>
          <w:szCs w:val="24"/>
        </w:rPr>
        <w:t>aragraphs). You may include 1-2 pages of supplemental information as appendices to this report (e.g., graphs and tables).</w:t>
      </w:r>
    </w:p>
    <w:p w:rsidR="0057260B" w:rsidRDefault="00B00FC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notable trend is the demand of the market and students for advanced courses in course development tools. </w:t>
      </w:r>
    </w:p>
    <w:p w:rsidR="0057260B" w:rsidRDefault="00B00FC3">
      <w:pPr>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Reflections on Trends and </w:t>
      </w:r>
      <w:r>
        <w:rPr>
          <w:rFonts w:ascii="Times New Roman" w:eastAsia="Times New Roman" w:hAnsi="Times New Roman" w:cs="Times New Roman"/>
          <w:b/>
          <w:sz w:val="24"/>
          <w:szCs w:val="24"/>
        </w:rPr>
        <w:t>Program Statistics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i/>
          <w:sz w:val="24"/>
          <w:szCs w:val="24"/>
        </w:rPr>
        <w:t>Provide your reflections on the trends discussed above and statistics and supplemental information presented in this report.</w:t>
      </w:r>
    </w:p>
    <w:p w:rsidR="0057260B" w:rsidRDefault="00B00FC3">
      <w:pPr>
        <w:pStyle w:val="Heading2"/>
        <w:numPr>
          <w:ilvl w:val="1"/>
          <w:numId w:val="1"/>
        </w:numPr>
        <w:ind w:left="90" w:hanging="360"/>
        <w:rPr>
          <w:b w:val="0"/>
          <w:sz w:val="24"/>
          <w:szCs w:val="24"/>
        </w:rPr>
      </w:pPr>
      <w:r>
        <w:rPr>
          <w:smallCaps w:val="0"/>
          <w:sz w:val="24"/>
          <w:szCs w:val="24"/>
        </w:rPr>
        <w:t>Request for Resources</w:t>
      </w:r>
      <w:r>
        <w:rPr>
          <w:i/>
          <w:sz w:val="24"/>
          <w:szCs w:val="24"/>
        </w:rPr>
        <w:t xml:space="preserve"> (</w:t>
      </w:r>
      <w:r>
        <w:rPr>
          <w:b w:val="0"/>
          <w:i/>
          <w:smallCaps w:val="0"/>
          <w:sz w:val="24"/>
          <w:szCs w:val="24"/>
        </w:rPr>
        <w:t>suggested length of 1 page)</w:t>
      </w:r>
    </w:p>
    <w:p w:rsidR="0057260B" w:rsidRDefault="00B00FC3">
      <w:pPr>
        <w:pStyle w:val="Heading3"/>
        <w:numPr>
          <w:ilvl w:val="2"/>
          <w:numId w:val="1"/>
        </w:numPr>
        <w:ind w:left="450"/>
        <w:rPr>
          <w:b w:val="0"/>
          <w:color w:val="000000"/>
        </w:rPr>
      </w:pPr>
      <w:r>
        <w:rPr>
          <w:rFonts w:ascii="Times New Roman" w:eastAsia="Times New Roman" w:hAnsi="Times New Roman" w:cs="Times New Roman"/>
          <w:b w:val="0"/>
          <w:color w:val="000000"/>
          <w:sz w:val="24"/>
          <w:szCs w:val="24"/>
        </w:rPr>
        <w:t>Request for Tenure-Track Hires - none</w:t>
      </w:r>
    </w:p>
    <w:p w:rsidR="0057260B" w:rsidRDefault="00B00FC3">
      <w:pPr>
        <w:pStyle w:val="Heading3"/>
        <w:numPr>
          <w:ilvl w:val="2"/>
          <w:numId w:val="1"/>
        </w:numPr>
        <w:ind w:left="720" w:hanging="270"/>
        <w:rPr>
          <w:b w:val="0"/>
          <w:color w:val="000000"/>
        </w:rPr>
      </w:pPr>
      <w:r>
        <w:rPr>
          <w:rFonts w:ascii="Times New Roman" w:eastAsia="Times New Roman" w:hAnsi="Times New Roman" w:cs="Times New Roman"/>
          <w:b w:val="0"/>
          <w:color w:val="000000"/>
          <w:sz w:val="24"/>
          <w:szCs w:val="24"/>
        </w:rPr>
        <w:t>Request for Ot</w:t>
      </w:r>
      <w:r>
        <w:rPr>
          <w:rFonts w:ascii="Times New Roman" w:eastAsia="Times New Roman" w:hAnsi="Times New Roman" w:cs="Times New Roman"/>
          <w:b w:val="0"/>
          <w:color w:val="000000"/>
          <w:sz w:val="24"/>
          <w:szCs w:val="24"/>
        </w:rPr>
        <w:t>her Resources - none</w:t>
      </w:r>
    </w:p>
    <w:p w:rsidR="0057260B" w:rsidRDefault="0057260B">
      <w:pPr>
        <w:rPr>
          <w:rFonts w:ascii="Times New Roman" w:eastAsia="Times New Roman" w:hAnsi="Times New Roman" w:cs="Times New Roman"/>
          <w:b/>
          <w:color w:val="000000"/>
          <w:sz w:val="24"/>
          <w:szCs w:val="24"/>
          <w:highlight w:val="yellow"/>
          <w:u w:val="single"/>
        </w:rPr>
      </w:pPr>
    </w:p>
    <w:p w:rsidR="0057260B" w:rsidRDefault="00B00FC3">
      <w:pPr>
        <w:rPr>
          <w:rFonts w:ascii="Times New Roman" w:eastAsia="Times New Roman" w:hAnsi="Times New Roman" w:cs="Times New Roman"/>
          <w:i/>
          <w:sz w:val="24"/>
          <w:szCs w:val="24"/>
        </w:rPr>
      </w:pPr>
      <w:r>
        <w:br w:type="page"/>
      </w:r>
    </w:p>
    <w:p w:rsidR="0057260B" w:rsidRDefault="00B00F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 A</w:t>
      </w:r>
    </w:p>
    <w:p w:rsidR="0057260B" w:rsidRDefault="0057260B">
      <w:pPr>
        <w:spacing w:after="0" w:line="240" w:lineRule="auto"/>
        <w:rPr>
          <w:rFonts w:ascii="Times New Roman" w:eastAsia="Times New Roman" w:hAnsi="Times New Roman" w:cs="Times New Roman"/>
          <w:sz w:val="24"/>
          <w:szCs w:val="24"/>
        </w:rPr>
      </w:pPr>
    </w:p>
    <w:p w:rsidR="0057260B" w:rsidRDefault="00B00F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Grade Distribution by Course</w:t>
      </w:r>
    </w:p>
    <w:p w:rsidR="0057260B" w:rsidRDefault="00B00F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8536" cy="3200400"/>
            <wp:effectExtent l="0" t="0" r="0" b="0"/>
            <wp:docPr id="6" name="image16.gif"/>
            <wp:cNvGraphicFramePr/>
            <a:graphic xmlns:a="http://schemas.openxmlformats.org/drawingml/2006/main">
              <a:graphicData uri="http://schemas.openxmlformats.org/drawingml/2006/picture">
                <pic:pic xmlns:pic="http://schemas.openxmlformats.org/drawingml/2006/picture">
                  <pic:nvPicPr>
                    <pic:cNvPr id="0" name="image16.gif"/>
                    <pic:cNvPicPr preferRelativeResize="0"/>
                  </pic:nvPicPr>
                  <pic:blipFill>
                    <a:blip r:embed="rId15"/>
                    <a:srcRect/>
                    <a:stretch>
                      <a:fillRect/>
                    </a:stretch>
                  </pic:blipFill>
                  <pic:spPr>
                    <a:xfrm>
                      <a:off x="0" y="0"/>
                      <a:ext cx="4288536" cy="3200400"/>
                    </a:xfrm>
                    <a:prstGeom prst="rect">
                      <a:avLst/>
                    </a:prstGeom>
                    <a:ln/>
                  </pic:spPr>
                </pic:pic>
              </a:graphicData>
            </a:graphic>
          </wp:inline>
        </w:drawing>
      </w:r>
    </w:p>
    <w:p w:rsidR="0057260B" w:rsidRDefault="00B00F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8536" cy="2734056"/>
            <wp:effectExtent l="0" t="0" r="0" b="0"/>
            <wp:docPr id="9"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16"/>
                    <a:srcRect/>
                    <a:stretch>
                      <a:fillRect/>
                    </a:stretch>
                  </pic:blipFill>
                  <pic:spPr>
                    <a:xfrm>
                      <a:off x="0" y="0"/>
                      <a:ext cx="4288536" cy="2734056"/>
                    </a:xfrm>
                    <a:prstGeom prst="rect">
                      <a:avLst/>
                    </a:prstGeom>
                    <a:ln/>
                  </pic:spPr>
                </pic:pic>
              </a:graphicData>
            </a:graphic>
          </wp:inline>
        </w:drawing>
      </w: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57260B">
      <w:pPr>
        <w:spacing w:after="0" w:line="240" w:lineRule="auto"/>
        <w:rPr>
          <w:rFonts w:ascii="Times New Roman" w:eastAsia="Times New Roman" w:hAnsi="Times New Roman" w:cs="Times New Roman"/>
          <w:sz w:val="24"/>
          <w:szCs w:val="24"/>
        </w:rPr>
      </w:pPr>
    </w:p>
    <w:p w:rsidR="0057260B" w:rsidRDefault="00B00FC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2018</w:t>
      </w:r>
    </w:p>
    <w:p w:rsidR="0057260B" w:rsidRDefault="00B00F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8536" cy="2852928"/>
            <wp:effectExtent l="0" t="0" r="0" b="0"/>
            <wp:docPr id="8"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17"/>
                    <a:srcRect/>
                    <a:stretch>
                      <a:fillRect/>
                    </a:stretch>
                  </pic:blipFill>
                  <pic:spPr>
                    <a:xfrm>
                      <a:off x="0" y="0"/>
                      <a:ext cx="4288536" cy="2852928"/>
                    </a:xfrm>
                    <a:prstGeom prst="rect">
                      <a:avLst/>
                    </a:prstGeom>
                    <a:ln/>
                  </pic:spPr>
                </pic:pic>
              </a:graphicData>
            </a:graphic>
          </wp:inline>
        </w:drawing>
      </w:r>
    </w:p>
    <w:p w:rsidR="0057260B" w:rsidRDefault="0057260B">
      <w:pPr>
        <w:spacing w:after="0" w:line="240" w:lineRule="auto"/>
        <w:rPr>
          <w:rFonts w:ascii="Times New Roman" w:eastAsia="Times New Roman" w:hAnsi="Times New Roman" w:cs="Times New Roman"/>
          <w:sz w:val="24"/>
          <w:szCs w:val="24"/>
        </w:rPr>
      </w:pPr>
    </w:p>
    <w:p w:rsidR="0057260B" w:rsidRDefault="00B00FC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SUMMER 2018</w:t>
      </w:r>
    </w:p>
    <w:p w:rsidR="0057260B" w:rsidRDefault="00B00F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8536" cy="2423160"/>
            <wp:effectExtent l="0" t="0" r="0" b="0"/>
            <wp:docPr id="10" name="image20.gif"/>
            <wp:cNvGraphicFramePr/>
            <a:graphic xmlns:a="http://schemas.openxmlformats.org/drawingml/2006/main">
              <a:graphicData uri="http://schemas.openxmlformats.org/drawingml/2006/picture">
                <pic:pic xmlns:pic="http://schemas.openxmlformats.org/drawingml/2006/picture">
                  <pic:nvPicPr>
                    <pic:cNvPr id="0" name="image20.gif"/>
                    <pic:cNvPicPr preferRelativeResize="0"/>
                  </pic:nvPicPr>
                  <pic:blipFill>
                    <a:blip r:embed="rId18"/>
                    <a:srcRect/>
                    <a:stretch>
                      <a:fillRect/>
                    </a:stretch>
                  </pic:blipFill>
                  <pic:spPr>
                    <a:xfrm>
                      <a:off x="0" y="0"/>
                      <a:ext cx="4288536" cy="2423160"/>
                    </a:xfrm>
                    <a:prstGeom prst="rect">
                      <a:avLst/>
                    </a:prstGeom>
                    <a:ln/>
                  </pic:spPr>
                </pic:pic>
              </a:graphicData>
            </a:graphic>
          </wp:inline>
        </w:drawing>
      </w:r>
    </w:p>
    <w:sectPr w:rsidR="0057260B">
      <w:footerReference w:type="default" r:id="rId19"/>
      <w:pgSz w:w="12240" w:h="15840"/>
      <w:pgMar w:top="576" w:right="1368" w:bottom="1296" w:left="13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C3" w:rsidRDefault="00B00FC3">
      <w:pPr>
        <w:spacing w:after="0" w:line="240" w:lineRule="auto"/>
      </w:pPr>
      <w:r>
        <w:separator/>
      </w:r>
    </w:p>
  </w:endnote>
  <w:endnote w:type="continuationSeparator" w:id="0">
    <w:p w:rsidR="00B00FC3" w:rsidRDefault="00B0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0B" w:rsidRDefault="00B00FC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i/>
        <w:color w:val="BFBFBF"/>
      </w:rPr>
    </w:pPr>
    <w:r>
      <w:rPr>
        <w:rFonts w:ascii="Times New Roman" w:eastAsia="Times New Roman" w:hAnsi="Times New Roman" w:cs="Times New Roman"/>
        <w:i/>
        <w:color w:val="BFBFBF"/>
      </w:rPr>
      <w:br/>
      <w:t>Draft 05-04-2017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C3" w:rsidRDefault="00B00FC3">
      <w:pPr>
        <w:spacing w:after="0" w:line="240" w:lineRule="auto"/>
      </w:pPr>
      <w:r>
        <w:separator/>
      </w:r>
    </w:p>
  </w:footnote>
  <w:footnote w:type="continuationSeparator" w:id="0">
    <w:p w:rsidR="00B00FC3" w:rsidRDefault="00B00F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5CE7"/>
    <w:multiLevelType w:val="multilevel"/>
    <w:tmpl w:val="9AC26D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51B14598"/>
    <w:multiLevelType w:val="multilevel"/>
    <w:tmpl w:val="2EEC9CF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EB744F"/>
    <w:multiLevelType w:val="multilevel"/>
    <w:tmpl w:val="75EE9654"/>
    <w:lvl w:ilvl="0">
      <w:start w:val="1"/>
      <w:numFmt w:val="upperRoman"/>
      <w:lvlText w:val="%1."/>
      <w:lvlJc w:val="left"/>
      <w:pPr>
        <w:ind w:left="0" w:firstLine="0"/>
      </w:pPr>
    </w:lvl>
    <w:lvl w:ilvl="1">
      <w:start w:val="1"/>
      <w:numFmt w:val="upperLetter"/>
      <w:lvlText w:val="%2."/>
      <w:lvlJc w:val="left"/>
      <w:pPr>
        <w:ind w:left="720" w:firstLine="0"/>
      </w:pPr>
      <w:rPr>
        <w:i w:val="0"/>
      </w:rPr>
    </w:lvl>
    <w:lvl w:ilvl="2">
      <w:start w:val="1"/>
      <w:numFmt w:val="decimal"/>
      <w:lvlText w:val="%3."/>
      <w:lvlJc w:val="left"/>
      <w:pPr>
        <w:ind w:left="1440" w:firstLine="0"/>
      </w:pPr>
      <w:rPr>
        <w:rFonts w:ascii="Times New Roman" w:eastAsia="Times New Roman" w:hAnsi="Times New Roman" w:cs="Times New Roman"/>
        <w:sz w:val="24"/>
        <w:szCs w:val="24"/>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5E9D74AA"/>
    <w:multiLevelType w:val="multilevel"/>
    <w:tmpl w:val="DB8C2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260B"/>
    <w:rsid w:val="0057260B"/>
    <w:rsid w:val="0092758E"/>
    <w:rsid w:val="00B0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spacing w:before="200" w:after="0"/>
      <w:ind w:left="720"/>
      <w:outlineLvl w:val="1"/>
    </w:pPr>
    <w:rPr>
      <w:rFonts w:ascii="Times New Roman" w:eastAsia="Times New Roman" w:hAnsi="Times New Roman" w:cs="Times New Roman"/>
      <w:b/>
      <w:smallCaps/>
      <w:sz w:val="27"/>
      <w:szCs w:val="27"/>
    </w:rPr>
  </w:style>
  <w:style w:type="paragraph" w:styleId="Heading3">
    <w:name w:val="heading 3"/>
    <w:basedOn w:val="Normal"/>
    <w:next w:val="Normal"/>
    <w:pPr>
      <w:keepNext/>
      <w:keepLines/>
      <w:spacing w:before="200" w:after="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spacing w:before="200" w:after="0"/>
      <w:ind w:left="720"/>
      <w:outlineLvl w:val="1"/>
    </w:pPr>
    <w:rPr>
      <w:rFonts w:ascii="Times New Roman" w:eastAsia="Times New Roman" w:hAnsi="Times New Roman" w:cs="Times New Roman"/>
      <w:b/>
      <w:smallCaps/>
      <w:sz w:val="27"/>
      <w:szCs w:val="27"/>
    </w:rPr>
  </w:style>
  <w:style w:type="paragraph" w:styleId="Heading3">
    <w:name w:val="heading 3"/>
    <w:basedOn w:val="Normal"/>
    <w:next w:val="Normal"/>
    <w:pPr>
      <w:keepNext/>
      <w:keepLines/>
      <w:spacing w:before="200" w:after="0"/>
      <w:ind w:left="144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216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2880"/>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36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5.gif"/><Relationship Id="rId10" Type="http://schemas.openxmlformats.org/officeDocument/2006/relationships/image" Target="media/image1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ustainability.yale.edu/participate/guide-going-green/paper-reduc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2018-10-12T19:03:00Z</dcterms:created>
  <dcterms:modified xsi:type="dcterms:W3CDTF">2018-10-12T19:03:00Z</dcterms:modified>
</cp:coreProperties>
</file>