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1DF82" w14:textId="77777777" w:rsidR="006E10E4" w:rsidRPr="006E10E4" w:rsidRDefault="006E10E4" w:rsidP="006E10E4">
      <w:pPr>
        <w:pStyle w:val="Heading2"/>
      </w:pPr>
      <w:bookmarkStart w:id="0" w:name="_Toc503385524"/>
      <w:r w:rsidRPr="006E10E4">
        <w:t>Semester-Based Course Descriptions</w:t>
      </w:r>
      <w:bookmarkEnd w:id="0"/>
    </w:p>
    <w:p w14:paraId="34D83AB2" w14:textId="77777777" w:rsidR="006E10E4" w:rsidRPr="006E10E4" w:rsidRDefault="006E10E4" w:rsidP="006E10E4">
      <w:pPr>
        <w:pStyle w:val="Heading2"/>
      </w:pPr>
      <w:r w:rsidRPr="006E10E4">
        <w:t>MSW PROGRAM, CSUEB</w:t>
      </w:r>
    </w:p>
    <w:p w14:paraId="6650888B" w14:textId="77777777" w:rsidR="006E10E4" w:rsidRPr="006E10E4" w:rsidRDefault="006E10E4" w:rsidP="006E10E4">
      <w:pPr>
        <w:tabs>
          <w:tab w:val="left" w:pos="720"/>
        </w:tabs>
        <w:spacing w:after="0" w:line="240" w:lineRule="auto"/>
        <w:rPr>
          <w:rFonts w:ascii="Arial" w:hAnsi="Arial"/>
          <w:b/>
        </w:rPr>
      </w:pPr>
    </w:p>
    <w:p w14:paraId="3A931A15" w14:textId="77777777" w:rsidR="006E10E4" w:rsidRDefault="006E10E4" w:rsidP="006E10E4">
      <w:pPr>
        <w:tabs>
          <w:tab w:val="left" w:pos="720"/>
        </w:tabs>
        <w:spacing w:after="0" w:line="240" w:lineRule="auto"/>
        <w:jc w:val="center"/>
        <w:rPr>
          <w:rFonts w:ascii="Arial" w:hAnsi="Arial"/>
          <w:b/>
          <w:sz w:val="32"/>
          <w:szCs w:val="32"/>
        </w:rPr>
      </w:pPr>
    </w:p>
    <w:p w14:paraId="385C6C73" w14:textId="77777777" w:rsidR="006E10E4" w:rsidRPr="006E10E4" w:rsidRDefault="006E10E4" w:rsidP="006E10E4">
      <w:pPr>
        <w:tabs>
          <w:tab w:val="left" w:pos="720"/>
        </w:tabs>
        <w:spacing w:after="0" w:line="240" w:lineRule="auto"/>
        <w:jc w:val="center"/>
        <w:rPr>
          <w:rFonts w:ascii="Arial" w:hAnsi="Arial"/>
          <w:b/>
          <w:sz w:val="32"/>
          <w:szCs w:val="32"/>
        </w:rPr>
      </w:pPr>
      <w:r w:rsidRPr="006E10E4">
        <w:rPr>
          <w:rFonts w:ascii="Arial" w:hAnsi="Arial"/>
          <w:b/>
          <w:sz w:val="32"/>
          <w:szCs w:val="32"/>
        </w:rPr>
        <w:t>FOUNDATION YEAR</w:t>
      </w:r>
    </w:p>
    <w:p w14:paraId="4CB942EE" w14:textId="77777777" w:rsidR="006E10E4" w:rsidRPr="006E10E4" w:rsidRDefault="006E10E4" w:rsidP="006E10E4">
      <w:pPr>
        <w:tabs>
          <w:tab w:val="left" w:pos="720"/>
        </w:tabs>
        <w:spacing w:after="0" w:line="240" w:lineRule="auto"/>
        <w:rPr>
          <w:rFonts w:ascii="Arial" w:hAnsi="Arial"/>
          <w:b/>
          <w:sz w:val="28"/>
          <w:szCs w:val="28"/>
        </w:rPr>
      </w:pPr>
    </w:p>
    <w:p w14:paraId="7A49856A" w14:textId="77777777" w:rsidR="006E10E4" w:rsidRPr="006E10E4" w:rsidRDefault="006E10E4" w:rsidP="006E10E4">
      <w:pPr>
        <w:tabs>
          <w:tab w:val="left" w:pos="720"/>
        </w:tabs>
        <w:spacing w:after="0" w:line="240" w:lineRule="auto"/>
        <w:ind w:left="720" w:hanging="720"/>
        <w:rPr>
          <w:rFonts w:ascii="Arial" w:hAnsi="Arial"/>
          <w:b/>
          <w:sz w:val="23"/>
          <w:szCs w:val="23"/>
        </w:rPr>
      </w:pPr>
      <w:r w:rsidRPr="006E10E4">
        <w:rPr>
          <w:rFonts w:ascii="Arial" w:hAnsi="Arial"/>
          <w:b/>
          <w:sz w:val="23"/>
          <w:szCs w:val="23"/>
        </w:rPr>
        <w:t xml:space="preserve">600 </w:t>
      </w:r>
      <w:r w:rsidRPr="006E10E4">
        <w:rPr>
          <w:rFonts w:ascii="Arial" w:hAnsi="Arial"/>
          <w:b/>
          <w:sz w:val="23"/>
          <w:szCs w:val="23"/>
        </w:rPr>
        <w:tab/>
        <w:t xml:space="preserve">Human Behavior in the Social Environment:  </w:t>
      </w:r>
      <w:r w:rsidRPr="006E10E4">
        <w:rPr>
          <w:rFonts w:ascii="Arial" w:hAnsi="Arial"/>
          <w:sz w:val="23"/>
          <w:szCs w:val="23"/>
        </w:rPr>
        <w:t>Introduces theoretical perspectives of human development and behavior across the life span, examining the influence of social, political, historical, and cultural variables. Covers physiological, psychological, cognitive, and social dimensions from birth through end-of-life.</w:t>
      </w:r>
      <w:r w:rsidRPr="006E10E4">
        <w:rPr>
          <w:rFonts w:ascii="Arial" w:hAnsi="Arial"/>
          <w:b/>
          <w:sz w:val="23"/>
          <w:szCs w:val="23"/>
        </w:rPr>
        <w:tab/>
      </w:r>
    </w:p>
    <w:p w14:paraId="7190355B"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445BDC05" w14:textId="77777777" w:rsidR="006E10E4" w:rsidRPr="006E10E4" w:rsidRDefault="006E10E4" w:rsidP="006E10E4">
      <w:pPr>
        <w:tabs>
          <w:tab w:val="left" w:pos="720"/>
        </w:tabs>
        <w:spacing w:after="0" w:line="240" w:lineRule="auto"/>
        <w:ind w:left="720" w:hanging="720"/>
        <w:rPr>
          <w:rFonts w:ascii="Arial" w:hAnsi="Arial"/>
          <w:sz w:val="23"/>
          <w:szCs w:val="23"/>
        </w:rPr>
      </w:pPr>
      <w:r w:rsidRPr="006E10E4">
        <w:rPr>
          <w:rFonts w:ascii="Arial" w:hAnsi="Arial"/>
          <w:b/>
          <w:sz w:val="23"/>
          <w:szCs w:val="23"/>
        </w:rPr>
        <w:t xml:space="preserve">601 </w:t>
      </w:r>
      <w:r w:rsidRPr="006E10E4">
        <w:rPr>
          <w:rFonts w:ascii="Arial" w:hAnsi="Arial"/>
          <w:b/>
          <w:sz w:val="23"/>
          <w:szCs w:val="23"/>
        </w:rPr>
        <w:tab/>
        <w:t xml:space="preserve">Race, Gender &amp; Inequality: </w:t>
      </w:r>
      <w:r w:rsidRPr="006E10E4">
        <w:rPr>
          <w:rFonts w:ascii="Arial" w:hAnsi="Arial"/>
          <w:sz w:val="23"/>
          <w:szCs w:val="23"/>
        </w:rPr>
        <w:t>Exploration of the impact of race, racism, gender, sexism, homophobia, ableism, and inequality in social work practice. Effective problem-solving when confronted with institutional barriers and interpersonal conflicts in agency and community-based social work practice with diverse populations.</w:t>
      </w:r>
    </w:p>
    <w:p w14:paraId="13147E51" w14:textId="77777777" w:rsidR="006E10E4" w:rsidRPr="006E10E4" w:rsidRDefault="006E10E4" w:rsidP="006E10E4">
      <w:pPr>
        <w:tabs>
          <w:tab w:val="left" w:pos="720"/>
        </w:tabs>
        <w:spacing w:after="0" w:line="240" w:lineRule="auto"/>
        <w:ind w:left="720" w:hanging="720"/>
        <w:rPr>
          <w:rFonts w:ascii="Arial" w:hAnsi="Arial"/>
          <w:sz w:val="23"/>
          <w:szCs w:val="23"/>
        </w:rPr>
      </w:pPr>
      <w:r w:rsidRPr="006E10E4">
        <w:rPr>
          <w:rFonts w:ascii="Arial" w:hAnsi="Arial"/>
          <w:sz w:val="23"/>
          <w:szCs w:val="23"/>
        </w:rPr>
        <w:tab/>
      </w:r>
    </w:p>
    <w:p w14:paraId="143E9C61" w14:textId="77777777" w:rsidR="006E10E4" w:rsidRPr="006E10E4" w:rsidRDefault="006E10E4" w:rsidP="006E10E4">
      <w:pPr>
        <w:tabs>
          <w:tab w:val="left" w:pos="720"/>
        </w:tabs>
        <w:spacing w:after="0" w:line="240" w:lineRule="auto"/>
        <w:ind w:left="720" w:hanging="720"/>
        <w:rPr>
          <w:rFonts w:ascii="Arial" w:hAnsi="Arial"/>
          <w:sz w:val="23"/>
          <w:szCs w:val="23"/>
        </w:rPr>
      </w:pPr>
      <w:r w:rsidRPr="006E10E4">
        <w:rPr>
          <w:rFonts w:ascii="Arial" w:hAnsi="Arial"/>
          <w:b/>
          <w:sz w:val="23"/>
          <w:szCs w:val="23"/>
        </w:rPr>
        <w:t xml:space="preserve">602 </w:t>
      </w:r>
      <w:r w:rsidRPr="006E10E4">
        <w:rPr>
          <w:rFonts w:ascii="Arial" w:hAnsi="Arial"/>
          <w:b/>
          <w:sz w:val="23"/>
          <w:szCs w:val="23"/>
        </w:rPr>
        <w:tab/>
        <w:t xml:space="preserve">Introduction to Social Welfare Policy: </w:t>
      </w:r>
      <w:r w:rsidRPr="006E10E4">
        <w:rPr>
          <w:rFonts w:ascii="Arial" w:hAnsi="Arial"/>
          <w:color w:val="000000"/>
          <w:sz w:val="23"/>
          <w:szCs w:val="23"/>
        </w:rPr>
        <w:t>S</w:t>
      </w:r>
      <w:r w:rsidRPr="006E10E4">
        <w:rPr>
          <w:rFonts w:ascii="Arial" w:hAnsi="Arial"/>
          <w:sz w:val="23"/>
          <w:szCs w:val="23"/>
        </w:rPr>
        <w:t>urveys major themes in social welfare policy and examines the associated values, theoretical assumptions, political and budgetary considerations, and structures. Emphasizes the application of social justice-oriented theoretical frameworks for understanding the role and impact of policy.</w:t>
      </w:r>
    </w:p>
    <w:p w14:paraId="4101FC7F" w14:textId="77777777" w:rsidR="006E10E4" w:rsidRPr="006E10E4" w:rsidRDefault="006E10E4" w:rsidP="006E10E4">
      <w:pPr>
        <w:tabs>
          <w:tab w:val="left" w:pos="720"/>
        </w:tabs>
        <w:spacing w:after="0" w:line="240" w:lineRule="auto"/>
        <w:ind w:left="720" w:hanging="720"/>
        <w:rPr>
          <w:rFonts w:ascii="Arial" w:hAnsi="Arial"/>
          <w:sz w:val="23"/>
          <w:szCs w:val="23"/>
        </w:rPr>
      </w:pPr>
    </w:p>
    <w:p w14:paraId="04406404" w14:textId="77777777" w:rsidR="006E10E4" w:rsidRPr="006E10E4" w:rsidRDefault="006E10E4" w:rsidP="006E10E4">
      <w:pPr>
        <w:tabs>
          <w:tab w:val="left" w:pos="720"/>
        </w:tabs>
        <w:spacing w:after="0" w:line="240" w:lineRule="auto"/>
        <w:ind w:left="720" w:hanging="720"/>
        <w:rPr>
          <w:rFonts w:ascii="Arial" w:hAnsi="Arial"/>
          <w:color w:val="000000"/>
          <w:sz w:val="23"/>
          <w:szCs w:val="23"/>
        </w:rPr>
      </w:pPr>
      <w:r w:rsidRPr="006E10E4">
        <w:rPr>
          <w:rFonts w:ascii="Arial" w:hAnsi="Arial"/>
          <w:b/>
          <w:sz w:val="23"/>
          <w:szCs w:val="23"/>
        </w:rPr>
        <w:t xml:space="preserve">603 </w:t>
      </w:r>
      <w:r w:rsidRPr="006E10E4">
        <w:rPr>
          <w:rFonts w:ascii="Arial" w:hAnsi="Arial"/>
          <w:b/>
          <w:sz w:val="23"/>
          <w:szCs w:val="23"/>
        </w:rPr>
        <w:tab/>
        <w:t xml:space="preserve">Introduction to Social Welfare Research: </w:t>
      </w:r>
      <w:r w:rsidRPr="006E10E4">
        <w:rPr>
          <w:rFonts w:ascii="Arial" w:hAnsi="Arial"/>
          <w:color w:val="000000"/>
          <w:sz w:val="23"/>
          <w:szCs w:val="23"/>
        </w:rPr>
        <w:t>The role of research in social work, the logic of research, the stages of underlying research process, various types of research designs, techniques of data collection and analysis, and strategies for evaluating service delivery in all areas of practice.</w:t>
      </w:r>
    </w:p>
    <w:p w14:paraId="354992B2" w14:textId="77777777" w:rsidR="006E10E4" w:rsidRPr="006E10E4" w:rsidRDefault="006E10E4" w:rsidP="006E10E4">
      <w:pPr>
        <w:tabs>
          <w:tab w:val="left" w:pos="720"/>
        </w:tabs>
        <w:spacing w:after="0" w:line="240" w:lineRule="auto"/>
        <w:ind w:left="720" w:hanging="720"/>
        <w:rPr>
          <w:rFonts w:ascii="Arial" w:hAnsi="Arial"/>
          <w:sz w:val="23"/>
          <w:szCs w:val="23"/>
        </w:rPr>
      </w:pPr>
    </w:p>
    <w:p w14:paraId="628D74B4" w14:textId="77777777" w:rsidR="006E10E4" w:rsidRPr="006E10E4" w:rsidRDefault="006E10E4" w:rsidP="006E10E4">
      <w:pPr>
        <w:spacing w:after="0" w:line="240" w:lineRule="auto"/>
        <w:ind w:left="720" w:hanging="720"/>
        <w:rPr>
          <w:rFonts w:ascii="Arial" w:hAnsi="Arial"/>
          <w:b/>
          <w:sz w:val="23"/>
          <w:szCs w:val="23"/>
        </w:rPr>
      </w:pPr>
      <w:r w:rsidRPr="006E10E4">
        <w:rPr>
          <w:rFonts w:ascii="Arial" w:hAnsi="Arial"/>
          <w:b/>
          <w:sz w:val="23"/>
          <w:szCs w:val="23"/>
        </w:rPr>
        <w:t xml:space="preserve">611 </w:t>
      </w:r>
      <w:r w:rsidRPr="006E10E4">
        <w:rPr>
          <w:rFonts w:ascii="Arial" w:hAnsi="Arial"/>
          <w:b/>
          <w:sz w:val="23"/>
          <w:szCs w:val="23"/>
        </w:rPr>
        <w:tab/>
        <w:t xml:space="preserve">Generalist Practice I: </w:t>
      </w:r>
      <w:r w:rsidRPr="006E10E4">
        <w:rPr>
          <w:rFonts w:ascii="Arial" w:hAnsi="Arial"/>
          <w:color w:val="000000"/>
          <w:sz w:val="23"/>
          <w:szCs w:val="23"/>
        </w:rPr>
        <w:t>Competencies for generalist social work practice in micro and mezzo settings. Students will develop skills in intervention strategies including constructing professional relationships, assessing client situations, planning and implementing change, and evaluating outcomes.</w:t>
      </w:r>
      <w:r w:rsidRPr="006E10E4">
        <w:rPr>
          <w:rFonts w:ascii="Arial" w:hAnsi="Arial"/>
          <w:b/>
          <w:sz w:val="23"/>
          <w:szCs w:val="23"/>
        </w:rPr>
        <w:tab/>
      </w:r>
    </w:p>
    <w:p w14:paraId="67C30683" w14:textId="77777777" w:rsidR="006E10E4" w:rsidRPr="006E10E4" w:rsidRDefault="006E10E4" w:rsidP="006E10E4">
      <w:pPr>
        <w:spacing w:after="0" w:line="240" w:lineRule="auto"/>
        <w:ind w:left="720" w:hanging="720"/>
        <w:rPr>
          <w:rFonts w:ascii="Arial" w:hAnsi="Arial"/>
          <w:b/>
          <w:sz w:val="23"/>
          <w:szCs w:val="23"/>
        </w:rPr>
      </w:pPr>
    </w:p>
    <w:p w14:paraId="3FDDC9B9" w14:textId="77777777" w:rsidR="006E10E4" w:rsidRPr="006E10E4" w:rsidRDefault="006E10E4" w:rsidP="006E10E4">
      <w:pPr>
        <w:spacing w:after="0" w:line="240" w:lineRule="auto"/>
        <w:ind w:left="720" w:hanging="720"/>
        <w:rPr>
          <w:rFonts w:ascii="Arial" w:hAnsi="Arial" w:cstheme="minorHAnsi"/>
          <w:sz w:val="23"/>
          <w:szCs w:val="23"/>
        </w:rPr>
      </w:pPr>
      <w:r w:rsidRPr="006E10E4">
        <w:rPr>
          <w:rFonts w:ascii="Arial" w:hAnsi="Arial"/>
          <w:b/>
          <w:sz w:val="23"/>
          <w:szCs w:val="23"/>
        </w:rPr>
        <w:t xml:space="preserve">612 </w:t>
      </w:r>
      <w:r w:rsidRPr="006E10E4">
        <w:rPr>
          <w:rFonts w:ascii="Arial" w:hAnsi="Arial"/>
          <w:b/>
          <w:sz w:val="23"/>
          <w:szCs w:val="23"/>
        </w:rPr>
        <w:tab/>
        <w:t xml:space="preserve">Generalist Practice II: </w:t>
      </w:r>
      <w:r w:rsidRPr="006E10E4">
        <w:rPr>
          <w:rFonts w:ascii="Arial" w:hAnsi="Arial" w:cstheme="minorHAnsi"/>
          <w:sz w:val="23"/>
          <w:szCs w:val="23"/>
        </w:rPr>
        <w:t>This is the second foundation course in generalist practice.  The course orients students to the major areas of small group, community, and organizational practice with particular emphasis on work with disenfranchised and oppressed populations.</w:t>
      </w:r>
    </w:p>
    <w:p w14:paraId="3A909AE5" w14:textId="77777777" w:rsidR="006E10E4" w:rsidRPr="006E10E4" w:rsidRDefault="006E10E4" w:rsidP="006E10E4">
      <w:pPr>
        <w:spacing w:after="0" w:line="240" w:lineRule="auto"/>
        <w:ind w:left="720" w:hanging="720"/>
        <w:rPr>
          <w:rFonts w:ascii="Arial" w:hAnsi="Arial" w:cstheme="minorHAnsi"/>
          <w:sz w:val="23"/>
          <w:szCs w:val="23"/>
        </w:rPr>
      </w:pPr>
    </w:p>
    <w:p w14:paraId="5893111E" w14:textId="77777777" w:rsidR="006E10E4" w:rsidRPr="006E10E4" w:rsidRDefault="006E10E4" w:rsidP="006E10E4">
      <w:pPr>
        <w:tabs>
          <w:tab w:val="left" w:pos="720"/>
        </w:tabs>
        <w:spacing w:after="0" w:line="240" w:lineRule="auto"/>
        <w:ind w:left="720" w:hanging="720"/>
        <w:rPr>
          <w:rFonts w:ascii="Arial" w:hAnsi="Arial"/>
          <w:b/>
          <w:sz w:val="23"/>
          <w:szCs w:val="23"/>
        </w:rPr>
      </w:pPr>
      <w:r w:rsidRPr="006E10E4">
        <w:rPr>
          <w:rFonts w:ascii="Arial" w:hAnsi="Arial" w:cstheme="minorHAnsi"/>
          <w:b/>
          <w:sz w:val="23"/>
          <w:szCs w:val="23"/>
        </w:rPr>
        <w:t xml:space="preserve">695a </w:t>
      </w:r>
      <w:r w:rsidRPr="006E10E4">
        <w:rPr>
          <w:rFonts w:ascii="Arial" w:hAnsi="Arial" w:cstheme="minorHAnsi"/>
          <w:b/>
          <w:sz w:val="23"/>
          <w:szCs w:val="23"/>
        </w:rPr>
        <w:tab/>
        <w:t xml:space="preserve">Practicum I: </w:t>
      </w:r>
      <w:r w:rsidRPr="006E10E4">
        <w:rPr>
          <w:rFonts w:ascii="Arial" w:hAnsi="Arial" w:cstheme="minorHAnsi"/>
          <w:sz w:val="23"/>
          <w:szCs w:val="23"/>
        </w:rPr>
        <w:t>Students in Field Practicum courses are assigned to community-based placements applying the knowledge, skills, and values learned</w:t>
      </w:r>
      <w:r w:rsidRPr="006E10E4">
        <w:rPr>
          <w:rFonts w:ascii="Arial" w:hAnsi="Arial"/>
          <w:sz w:val="23"/>
          <w:szCs w:val="23"/>
        </w:rPr>
        <w:t xml:space="preserve"> within program courses.  Field education is guided by an individualized learning contract developed by the student and the field instructor.</w:t>
      </w:r>
      <w:r w:rsidRPr="006E10E4">
        <w:rPr>
          <w:rFonts w:ascii="Arial" w:hAnsi="Arial"/>
          <w:b/>
          <w:sz w:val="23"/>
          <w:szCs w:val="23"/>
        </w:rPr>
        <w:tab/>
      </w:r>
    </w:p>
    <w:p w14:paraId="1D048225"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51017B8A" w14:textId="77777777" w:rsidR="006E10E4" w:rsidRPr="006E10E4" w:rsidRDefault="006E10E4" w:rsidP="006E10E4">
      <w:pPr>
        <w:tabs>
          <w:tab w:val="left" w:pos="720"/>
        </w:tabs>
        <w:spacing w:after="0" w:line="240" w:lineRule="auto"/>
        <w:ind w:left="720" w:hanging="720"/>
        <w:rPr>
          <w:rFonts w:ascii="Arial" w:hAnsi="Arial"/>
          <w:b/>
          <w:sz w:val="23"/>
          <w:szCs w:val="23"/>
        </w:rPr>
      </w:pPr>
      <w:r w:rsidRPr="006E10E4">
        <w:rPr>
          <w:rFonts w:ascii="Arial" w:hAnsi="Arial"/>
          <w:b/>
          <w:sz w:val="23"/>
          <w:szCs w:val="23"/>
        </w:rPr>
        <w:t xml:space="preserve">695b </w:t>
      </w:r>
      <w:r w:rsidRPr="006E10E4">
        <w:rPr>
          <w:rFonts w:ascii="Arial" w:hAnsi="Arial"/>
          <w:b/>
          <w:sz w:val="23"/>
          <w:szCs w:val="23"/>
        </w:rPr>
        <w:tab/>
        <w:t xml:space="preserve">Practicum II: </w:t>
      </w:r>
      <w:r w:rsidRPr="006E10E4">
        <w:rPr>
          <w:rFonts w:ascii="Arial" w:hAnsi="Arial"/>
          <w:sz w:val="23"/>
          <w:szCs w:val="23"/>
        </w:rPr>
        <w:t>Students in Field Practicum courses are assigned to community-based placements applying the knowledge, skills, and values learned within program courses.  Field education is guided by an individualized learning contract developed by the student and the field instructor.</w:t>
      </w:r>
    </w:p>
    <w:p w14:paraId="40ED3C84" w14:textId="77777777" w:rsidR="006E10E4" w:rsidRPr="006E10E4" w:rsidRDefault="006E10E4" w:rsidP="006E10E4">
      <w:pPr>
        <w:tabs>
          <w:tab w:val="left" w:pos="720"/>
        </w:tabs>
        <w:spacing w:after="0" w:line="240" w:lineRule="auto"/>
        <w:rPr>
          <w:rFonts w:ascii="Arial" w:hAnsi="Arial"/>
          <w:b/>
        </w:rPr>
      </w:pPr>
    </w:p>
    <w:p w14:paraId="6837768E" w14:textId="77777777" w:rsidR="006E10E4" w:rsidRPr="006E10E4" w:rsidRDefault="006E10E4" w:rsidP="006E10E4">
      <w:pPr>
        <w:tabs>
          <w:tab w:val="left" w:pos="720"/>
        </w:tabs>
        <w:spacing w:after="0" w:line="240" w:lineRule="auto"/>
        <w:jc w:val="center"/>
        <w:rPr>
          <w:rFonts w:ascii="Arial" w:hAnsi="Arial"/>
          <w:b/>
          <w:sz w:val="32"/>
          <w:szCs w:val="32"/>
        </w:rPr>
      </w:pPr>
      <w:r>
        <w:rPr>
          <w:rFonts w:ascii="Arial" w:hAnsi="Arial"/>
          <w:b/>
          <w:sz w:val="28"/>
          <w:szCs w:val="28"/>
        </w:rPr>
        <w:br w:type="page"/>
      </w:r>
      <w:r w:rsidRPr="006E10E4">
        <w:rPr>
          <w:rFonts w:ascii="Arial" w:hAnsi="Arial"/>
          <w:b/>
          <w:sz w:val="32"/>
          <w:szCs w:val="32"/>
        </w:rPr>
        <w:lastRenderedPageBreak/>
        <w:t>ADVANCED YEAR</w:t>
      </w:r>
    </w:p>
    <w:p w14:paraId="32CC274A" w14:textId="77777777" w:rsidR="006E10E4" w:rsidRPr="006E10E4" w:rsidRDefault="006E10E4" w:rsidP="006E10E4">
      <w:pPr>
        <w:tabs>
          <w:tab w:val="left" w:pos="720"/>
        </w:tabs>
        <w:spacing w:after="0" w:line="240" w:lineRule="auto"/>
        <w:rPr>
          <w:rFonts w:ascii="Arial" w:hAnsi="Arial"/>
          <w:b/>
          <w:sz w:val="28"/>
          <w:szCs w:val="28"/>
        </w:rPr>
      </w:pPr>
    </w:p>
    <w:p w14:paraId="5D0C0577" w14:textId="6ACE5AEB" w:rsidR="006E10E4" w:rsidRPr="006E10E4" w:rsidRDefault="006E10E4" w:rsidP="006E10E4">
      <w:pPr>
        <w:tabs>
          <w:tab w:val="left" w:pos="720"/>
        </w:tabs>
        <w:spacing w:after="0" w:line="240" w:lineRule="auto"/>
        <w:ind w:left="720" w:hanging="720"/>
        <w:rPr>
          <w:rFonts w:ascii="Arial" w:eastAsia="Calibri" w:hAnsi="Arial" w:cstheme="minorHAnsi"/>
          <w:sz w:val="23"/>
          <w:szCs w:val="23"/>
        </w:rPr>
      </w:pPr>
      <w:r w:rsidRPr="006E10E4">
        <w:rPr>
          <w:rFonts w:ascii="Arial" w:hAnsi="Arial"/>
          <w:b/>
          <w:sz w:val="23"/>
          <w:szCs w:val="23"/>
        </w:rPr>
        <w:t xml:space="preserve">621a </w:t>
      </w:r>
      <w:r w:rsidRPr="006E10E4">
        <w:rPr>
          <w:rFonts w:ascii="Arial" w:hAnsi="Arial"/>
          <w:b/>
          <w:sz w:val="23"/>
          <w:szCs w:val="23"/>
        </w:rPr>
        <w:tab/>
        <w:t xml:space="preserve">Advanced Practice I CYF: </w:t>
      </w:r>
      <w:bookmarkStart w:id="1" w:name="_GoBack"/>
      <w:bookmarkEnd w:id="1"/>
      <w:r w:rsidRPr="006E10E4">
        <w:rPr>
          <w:rFonts w:ascii="Arial" w:eastAsia="Calibri" w:hAnsi="Arial" w:cstheme="minorHAnsi"/>
          <w:sz w:val="23"/>
          <w:szCs w:val="23"/>
        </w:rPr>
        <w:t>This is the first of two advanced practice courses required of students in the Children, Youth, and Families concentration. It imparts knowledge and skills for providing culturally responsive services to individuals and families, particularly minority and underserved populations in urban environments.</w:t>
      </w:r>
    </w:p>
    <w:p w14:paraId="313AA04A"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31240C9A" w14:textId="77777777" w:rsidR="006E10E4" w:rsidRPr="006E10E4" w:rsidRDefault="006E10E4" w:rsidP="006E10E4">
      <w:pPr>
        <w:tabs>
          <w:tab w:val="left" w:pos="720"/>
        </w:tabs>
        <w:spacing w:after="0" w:line="240" w:lineRule="auto"/>
        <w:ind w:left="720" w:hanging="720"/>
        <w:rPr>
          <w:rFonts w:ascii="Arial" w:eastAsia="Calibri" w:hAnsi="Arial" w:cstheme="minorHAnsi"/>
          <w:sz w:val="23"/>
          <w:szCs w:val="23"/>
        </w:rPr>
      </w:pPr>
      <w:r w:rsidRPr="006E10E4">
        <w:rPr>
          <w:rFonts w:ascii="Arial" w:hAnsi="Arial"/>
          <w:b/>
          <w:sz w:val="23"/>
          <w:szCs w:val="23"/>
        </w:rPr>
        <w:t xml:space="preserve">621b </w:t>
      </w:r>
      <w:r w:rsidRPr="006E10E4">
        <w:rPr>
          <w:rFonts w:ascii="Arial" w:hAnsi="Arial"/>
          <w:b/>
          <w:sz w:val="23"/>
          <w:szCs w:val="23"/>
        </w:rPr>
        <w:tab/>
        <w:t xml:space="preserve">Advanced Practice II CYF: </w:t>
      </w:r>
      <w:r w:rsidRPr="006E10E4">
        <w:rPr>
          <w:rFonts w:ascii="Arial" w:eastAsia="Calibri" w:hAnsi="Arial" w:cstheme="minorHAnsi"/>
          <w:sz w:val="23"/>
          <w:szCs w:val="23"/>
        </w:rPr>
        <w:t>This is the second required course with a focus on Children, Youth, and Families.  The foci are mezzo and macro practices.  Special attention will be paid to working with underserved urban and disenfranchised groups with an emphasis on public policy.</w:t>
      </w:r>
    </w:p>
    <w:p w14:paraId="4F0441FE"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71648323" w14:textId="77777777" w:rsidR="006E10E4" w:rsidRPr="006E10E4" w:rsidRDefault="006E10E4" w:rsidP="006E10E4">
      <w:pPr>
        <w:tabs>
          <w:tab w:val="left" w:pos="720"/>
        </w:tabs>
        <w:spacing w:after="0" w:line="240" w:lineRule="auto"/>
        <w:ind w:left="720" w:hanging="720"/>
        <w:rPr>
          <w:rFonts w:ascii="Arial" w:hAnsi="Arial"/>
          <w:b/>
          <w:sz w:val="23"/>
          <w:szCs w:val="23"/>
        </w:rPr>
      </w:pPr>
      <w:r w:rsidRPr="006E10E4">
        <w:rPr>
          <w:rFonts w:ascii="Arial" w:hAnsi="Arial"/>
          <w:b/>
          <w:sz w:val="23"/>
          <w:szCs w:val="23"/>
        </w:rPr>
        <w:t xml:space="preserve">622a </w:t>
      </w:r>
      <w:r w:rsidRPr="006E10E4">
        <w:rPr>
          <w:rFonts w:ascii="Arial" w:hAnsi="Arial"/>
          <w:b/>
          <w:sz w:val="23"/>
          <w:szCs w:val="23"/>
        </w:rPr>
        <w:tab/>
        <w:t xml:space="preserve">Advanced Practice I CMH: </w:t>
      </w:r>
      <w:r w:rsidRPr="006E10E4">
        <w:rPr>
          <w:rFonts w:ascii="Arial" w:eastAsia="Calibri" w:hAnsi="Arial" w:cstheme="minorHAnsi"/>
          <w:sz w:val="23"/>
          <w:szCs w:val="23"/>
        </w:rPr>
        <w:t>This is the first of two advanced practice courses required of students in the community mental health concentration. It imparts knowledge and skills for providing culturally responsive services to individuals and families, particularly minority and underserved populations in urban environments.</w:t>
      </w:r>
      <w:r w:rsidRPr="006E10E4">
        <w:rPr>
          <w:rFonts w:ascii="Arial" w:hAnsi="Arial"/>
          <w:b/>
          <w:sz w:val="23"/>
          <w:szCs w:val="23"/>
        </w:rPr>
        <w:tab/>
      </w:r>
    </w:p>
    <w:p w14:paraId="3807DC10"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20921F84" w14:textId="77777777" w:rsidR="006E10E4" w:rsidRPr="006E10E4" w:rsidRDefault="006E10E4" w:rsidP="006E10E4">
      <w:pPr>
        <w:tabs>
          <w:tab w:val="left" w:pos="720"/>
        </w:tabs>
        <w:spacing w:after="0" w:line="240" w:lineRule="auto"/>
        <w:ind w:left="720" w:hanging="720"/>
        <w:rPr>
          <w:rFonts w:ascii="Arial" w:eastAsia="Calibri" w:hAnsi="Arial" w:cstheme="minorHAnsi"/>
          <w:sz w:val="23"/>
          <w:szCs w:val="23"/>
        </w:rPr>
      </w:pPr>
      <w:r w:rsidRPr="006E10E4">
        <w:rPr>
          <w:rFonts w:ascii="Arial" w:hAnsi="Arial"/>
          <w:b/>
          <w:sz w:val="23"/>
          <w:szCs w:val="23"/>
        </w:rPr>
        <w:t xml:space="preserve">622b </w:t>
      </w:r>
      <w:r w:rsidRPr="006E10E4">
        <w:rPr>
          <w:rFonts w:ascii="Arial" w:hAnsi="Arial"/>
          <w:b/>
          <w:sz w:val="23"/>
          <w:szCs w:val="23"/>
        </w:rPr>
        <w:tab/>
        <w:t xml:space="preserve">Advanced Practice II CMH: </w:t>
      </w:r>
      <w:r w:rsidRPr="006E10E4">
        <w:rPr>
          <w:rFonts w:ascii="Arial" w:eastAsia="Calibri" w:hAnsi="Arial" w:cstheme="minorHAnsi"/>
          <w:sz w:val="23"/>
          <w:szCs w:val="23"/>
        </w:rPr>
        <w:t>This is the second advanced practice course required of students in the community mental health concentration. It imparts knowledge and skills for providing culturally responsive services to groups, organizations, and communities, particularly minority and underserved populations in urban environments.</w:t>
      </w:r>
    </w:p>
    <w:p w14:paraId="20CFCC4B" w14:textId="77777777" w:rsidR="006E10E4" w:rsidRPr="006E10E4" w:rsidRDefault="006E10E4" w:rsidP="006E10E4">
      <w:pPr>
        <w:tabs>
          <w:tab w:val="left" w:pos="720"/>
        </w:tabs>
        <w:spacing w:after="0" w:line="240" w:lineRule="auto"/>
        <w:ind w:left="720" w:hanging="720"/>
        <w:rPr>
          <w:rFonts w:ascii="Arial" w:hAnsi="Arial"/>
          <w:sz w:val="23"/>
          <w:szCs w:val="23"/>
        </w:rPr>
      </w:pPr>
    </w:p>
    <w:p w14:paraId="5EDD1BB5" w14:textId="77777777" w:rsidR="006E10E4" w:rsidRPr="006E10E4" w:rsidRDefault="006E10E4" w:rsidP="006E10E4">
      <w:pPr>
        <w:tabs>
          <w:tab w:val="left" w:pos="720"/>
        </w:tabs>
        <w:spacing w:after="0" w:line="240" w:lineRule="auto"/>
        <w:ind w:left="720" w:hanging="720"/>
        <w:rPr>
          <w:rFonts w:ascii="Arial" w:hAnsi="Arial"/>
          <w:b/>
          <w:sz w:val="23"/>
          <w:szCs w:val="23"/>
        </w:rPr>
      </w:pPr>
      <w:r w:rsidRPr="006E10E4">
        <w:rPr>
          <w:rFonts w:ascii="Arial" w:hAnsi="Arial"/>
          <w:b/>
          <w:sz w:val="23"/>
          <w:szCs w:val="23"/>
        </w:rPr>
        <w:t xml:space="preserve">689 </w:t>
      </w:r>
      <w:r w:rsidRPr="006E10E4">
        <w:rPr>
          <w:rFonts w:ascii="Arial" w:hAnsi="Arial"/>
          <w:b/>
          <w:sz w:val="23"/>
          <w:szCs w:val="23"/>
        </w:rPr>
        <w:tab/>
        <w:t xml:space="preserve">Community-Based Research: </w:t>
      </w:r>
      <w:r w:rsidRPr="006E10E4">
        <w:rPr>
          <w:rFonts w:ascii="Arial" w:hAnsi="Arial"/>
          <w:sz w:val="23"/>
          <w:szCs w:val="23"/>
        </w:rPr>
        <w:t>The purpose of this course is to prepare students to implement and evaluate a community-based research, evaluation or advocacy project.  Topics include program evaluation and planning, data analysis, and ethical issues in community-based research.</w:t>
      </w:r>
      <w:r w:rsidRPr="006E10E4">
        <w:rPr>
          <w:rFonts w:ascii="Arial" w:hAnsi="Arial"/>
          <w:b/>
          <w:sz w:val="23"/>
          <w:szCs w:val="23"/>
        </w:rPr>
        <w:tab/>
      </w:r>
    </w:p>
    <w:p w14:paraId="637CCD03"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45D1D943" w14:textId="77777777" w:rsidR="006E10E4" w:rsidRPr="006E10E4" w:rsidRDefault="006E10E4" w:rsidP="006E10E4">
      <w:pPr>
        <w:tabs>
          <w:tab w:val="left" w:pos="720"/>
        </w:tabs>
        <w:spacing w:after="0" w:line="240" w:lineRule="auto"/>
        <w:ind w:left="720" w:hanging="720"/>
        <w:rPr>
          <w:rFonts w:ascii="Arial" w:hAnsi="Arial"/>
          <w:sz w:val="23"/>
          <w:szCs w:val="23"/>
        </w:rPr>
      </w:pPr>
      <w:r w:rsidRPr="006E10E4">
        <w:rPr>
          <w:rFonts w:ascii="Arial" w:hAnsi="Arial"/>
          <w:b/>
          <w:sz w:val="23"/>
          <w:szCs w:val="23"/>
        </w:rPr>
        <w:t xml:space="preserve">693 </w:t>
      </w:r>
      <w:r w:rsidRPr="006E10E4">
        <w:rPr>
          <w:rFonts w:ascii="Arial" w:hAnsi="Arial"/>
          <w:b/>
          <w:sz w:val="23"/>
          <w:szCs w:val="23"/>
        </w:rPr>
        <w:tab/>
        <w:t xml:space="preserve">Integrative Seminar: </w:t>
      </w:r>
      <w:r w:rsidRPr="006E10E4">
        <w:rPr>
          <w:rFonts w:ascii="Arial" w:hAnsi="Arial"/>
          <w:sz w:val="23"/>
          <w:szCs w:val="23"/>
        </w:rPr>
        <w:t>The integrative seminar provides students an opportunity to implement a significant community-based research, evaluation, or advocacy project relevant to social work practice. In doing so, students are expected to demonstrate mastery of all MSW Program Learning Outcomes.</w:t>
      </w:r>
    </w:p>
    <w:p w14:paraId="1E88ABC5"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7C326287" w14:textId="77777777" w:rsidR="006E10E4" w:rsidRPr="006E10E4" w:rsidRDefault="006E10E4" w:rsidP="006E10E4">
      <w:pPr>
        <w:tabs>
          <w:tab w:val="left" w:pos="720"/>
        </w:tabs>
        <w:spacing w:after="0" w:line="240" w:lineRule="auto"/>
        <w:ind w:left="720" w:hanging="720"/>
        <w:rPr>
          <w:rFonts w:ascii="Arial" w:hAnsi="Arial"/>
          <w:sz w:val="23"/>
          <w:szCs w:val="23"/>
        </w:rPr>
      </w:pPr>
      <w:r w:rsidRPr="006E10E4">
        <w:rPr>
          <w:rFonts w:ascii="Arial" w:hAnsi="Arial"/>
          <w:b/>
          <w:sz w:val="23"/>
          <w:szCs w:val="23"/>
        </w:rPr>
        <w:t xml:space="preserve">691 </w:t>
      </w:r>
      <w:r w:rsidRPr="006E10E4">
        <w:rPr>
          <w:rFonts w:ascii="Arial" w:hAnsi="Arial"/>
          <w:b/>
          <w:sz w:val="23"/>
          <w:szCs w:val="23"/>
        </w:rPr>
        <w:tab/>
        <w:t xml:space="preserve">University Thesis: </w:t>
      </w:r>
      <w:r w:rsidRPr="006E10E4">
        <w:rPr>
          <w:rFonts w:ascii="Arial" w:hAnsi="Arial"/>
          <w:sz w:val="23"/>
          <w:szCs w:val="23"/>
        </w:rPr>
        <w:t>Completion of a formal research paper for submission to the university in the specified format. Supervision by a faculty committee, chaired by a regular member of the department. Oral defense required.</w:t>
      </w:r>
    </w:p>
    <w:p w14:paraId="33FADD90" w14:textId="77777777" w:rsidR="006E10E4" w:rsidRPr="006E10E4" w:rsidRDefault="006E10E4" w:rsidP="006E10E4">
      <w:pPr>
        <w:tabs>
          <w:tab w:val="left" w:pos="720"/>
        </w:tabs>
        <w:spacing w:after="0" w:line="240" w:lineRule="auto"/>
        <w:ind w:left="720" w:hanging="720"/>
        <w:rPr>
          <w:rFonts w:ascii="Arial" w:hAnsi="Arial"/>
          <w:sz w:val="23"/>
          <w:szCs w:val="23"/>
        </w:rPr>
      </w:pPr>
    </w:p>
    <w:p w14:paraId="3A12B55B" w14:textId="77777777" w:rsidR="006E10E4" w:rsidRPr="006E10E4" w:rsidRDefault="006E10E4" w:rsidP="006E10E4">
      <w:pPr>
        <w:tabs>
          <w:tab w:val="left" w:pos="720"/>
        </w:tabs>
        <w:spacing w:after="0" w:line="240" w:lineRule="auto"/>
        <w:ind w:left="720" w:hanging="720"/>
        <w:rPr>
          <w:rFonts w:ascii="Arial" w:hAnsi="Arial"/>
          <w:sz w:val="23"/>
          <w:szCs w:val="23"/>
        </w:rPr>
      </w:pPr>
      <w:r w:rsidRPr="006E10E4">
        <w:rPr>
          <w:rFonts w:ascii="Arial" w:hAnsi="Arial"/>
          <w:b/>
          <w:sz w:val="23"/>
          <w:szCs w:val="23"/>
        </w:rPr>
        <w:t xml:space="preserve">699 </w:t>
      </w:r>
      <w:r w:rsidRPr="006E10E4">
        <w:rPr>
          <w:rFonts w:ascii="Arial" w:hAnsi="Arial"/>
          <w:b/>
          <w:sz w:val="23"/>
          <w:szCs w:val="23"/>
        </w:rPr>
        <w:tab/>
        <w:t>Departmental Thesis:</w:t>
      </w:r>
      <w:r w:rsidRPr="006E10E4">
        <w:rPr>
          <w:rFonts w:ascii="Arial" w:hAnsi="Arial"/>
          <w:sz w:val="23"/>
          <w:szCs w:val="23"/>
        </w:rPr>
        <w:t xml:space="preserve"> Developing and writing a research paper for submission to the department, which specifies its format. Supervision by a departmental faculty member. Oral defense is required</w:t>
      </w:r>
    </w:p>
    <w:p w14:paraId="7AC427F1" w14:textId="77777777" w:rsidR="006E10E4" w:rsidRPr="006E10E4" w:rsidRDefault="006E10E4" w:rsidP="006E10E4">
      <w:pPr>
        <w:tabs>
          <w:tab w:val="left" w:pos="720"/>
        </w:tabs>
        <w:spacing w:after="0" w:line="240" w:lineRule="auto"/>
        <w:ind w:left="720" w:hanging="720"/>
        <w:rPr>
          <w:rFonts w:ascii="Arial" w:hAnsi="Arial"/>
          <w:b/>
          <w:sz w:val="23"/>
          <w:szCs w:val="23"/>
        </w:rPr>
      </w:pPr>
    </w:p>
    <w:p w14:paraId="523D381E" w14:textId="77777777" w:rsidR="006E10E4" w:rsidRPr="006E10E4" w:rsidRDefault="006E10E4" w:rsidP="006E10E4">
      <w:pPr>
        <w:spacing w:after="0" w:line="240" w:lineRule="auto"/>
        <w:ind w:left="720" w:hanging="720"/>
        <w:rPr>
          <w:rFonts w:ascii="Arial" w:hAnsi="Arial"/>
          <w:sz w:val="23"/>
          <w:szCs w:val="23"/>
        </w:rPr>
      </w:pPr>
      <w:r w:rsidRPr="006E10E4">
        <w:rPr>
          <w:rFonts w:ascii="Arial" w:hAnsi="Arial"/>
          <w:b/>
          <w:sz w:val="23"/>
          <w:szCs w:val="23"/>
        </w:rPr>
        <w:t xml:space="preserve">695c </w:t>
      </w:r>
      <w:r w:rsidRPr="006E10E4">
        <w:rPr>
          <w:rFonts w:ascii="Arial" w:hAnsi="Arial"/>
          <w:b/>
          <w:sz w:val="23"/>
          <w:szCs w:val="23"/>
        </w:rPr>
        <w:tab/>
        <w:t xml:space="preserve">Practicum III: </w:t>
      </w:r>
      <w:r w:rsidRPr="006E10E4">
        <w:rPr>
          <w:rFonts w:ascii="Arial" w:hAnsi="Arial"/>
          <w:sz w:val="23"/>
          <w:szCs w:val="23"/>
        </w:rPr>
        <w:t>The advanced practicum and field placement are designed to prepare students for entry into specialized, and concentrated (Children Youth and Families or Community Mental Health) areas of practice, among diverse settings and populations.</w:t>
      </w:r>
    </w:p>
    <w:p w14:paraId="119EC293" w14:textId="77777777" w:rsidR="006E10E4" w:rsidRPr="006E10E4" w:rsidRDefault="006E10E4" w:rsidP="006E10E4">
      <w:pPr>
        <w:spacing w:after="0" w:line="240" w:lineRule="auto"/>
        <w:ind w:left="720" w:hanging="720"/>
        <w:rPr>
          <w:rFonts w:ascii="Arial" w:hAnsi="Arial"/>
          <w:sz w:val="23"/>
          <w:szCs w:val="23"/>
        </w:rPr>
      </w:pPr>
      <w:r w:rsidRPr="006E10E4">
        <w:rPr>
          <w:rFonts w:ascii="Arial" w:hAnsi="Arial"/>
          <w:sz w:val="23"/>
          <w:szCs w:val="23"/>
        </w:rPr>
        <w:t xml:space="preserve">  </w:t>
      </w:r>
    </w:p>
    <w:p w14:paraId="129B358E" w14:textId="77777777" w:rsidR="006E10E4" w:rsidRPr="006E10E4" w:rsidRDefault="006E10E4" w:rsidP="006E10E4">
      <w:pPr>
        <w:spacing w:after="0" w:line="240" w:lineRule="auto"/>
        <w:ind w:left="720" w:hanging="720"/>
        <w:rPr>
          <w:rFonts w:ascii="Arial" w:hAnsi="Arial"/>
          <w:sz w:val="23"/>
          <w:szCs w:val="23"/>
        </w:rPr>
      </w:pPr>
      <w:r w:rsidRPr="006E10E4">
        <w:rPr>
          <w:rFonts w:ascii="Arial" w:hAnsi="Arial"/>
          <w:b/>
          <w:sz w:val="23"/>
          <w:szCs w:val="23"/>
        </w:rPr>
        <w:t xml:space="preserve">695d </w:t>
      </w:r>
      <w:r w:rsidRPr="006E10E4">
        <w:rPr>
          <w:rFonts w:ascii="Arial" w:hAnsi="Arial"/>
          <w:b/>
          <w:sz w:val="23"/>
          <w:szCs w:val="23"/>
        </w:rPr>
        <w:tab/>
        <w:t xml:space="preserve">Practicum IV: </w:t>
      </w:r>
      <w:r w:rsidRPr="006E10E4">
        <w:rPr>
          <w:rFonts w:ascii="Arial" w:hAnsi="Arial"/>
          <w:sz w:val="23"/>
          <w:szCs w:val="23"/>
        </w:rPr>
        <w:t xml:space="preserve">The advanced practicum and field placement are designed to prepare students for entry into specialized, and concentrated (Children Youth and Families or Community Mental Health) areas of practice, among diverse settings and populations.  </w:t>
      </w:r>
    </w:p>
    <w:p w14:paraId="67624C3E" w14:textId="77777777" w:rsidR="006E10E4" w:rsidRPr="006E10E4" w:rsidRDefault="006E10E4" w:rsidP="006E10E4">
      <w:pPr>
        <w:tabs>
          <w:tab w:val="left" w:pos="720"/>
        </w:tabs>
        <w:spacing w:after="0" w:line="240" w:lineRule="auto"/>
        <w:jc w:val="center"/>
        <w:rPr>
          <w:rFonts w:ascii="Arial" w:hAnsi="Arial" w:cstheme="minorHAnsi"/>
          <w:b/>
          <w:sz w:val="32"/>
          <w:szCs w:val="32"/>
        </w:rPr>
      </w:pPr>
      <w:r w:rsidRPr="006E10E4">
        <w:rPr>
          <w:rFonts w:ascii="Arial" w:hAnsi="Arial" w:cstheme="minorHAnsi"/>
          <w:b/>
          <w:sz w:val="32"/>
          <w:szCs w:val="32"/>
        </w:rPr>
        <w:t>ELECTIVES</w:t>
      </w:r>
    </w:p>
    <w:p w14:paraId="4113E78D" w14:textId="77777777" w:rsidR="006E10E4" w:rsidRPr="006E10E4" w:rsidRDefault="006E10E4" w:rsidP="006E10E4">
      <w:pPr>
        <w:tabs>
          <w:tab w:val="left" w:pos="720"/>
        </w:tabs>
        <w:spacing w:after="0" w:line="240" w:lineRule="auto"/>
        <w:rPr>
          <w:rFonts w:ascii="Arial" w:hAnsi="Arial" w:cstheme="minorHAnsi"/>
          <w:b/>
        </w:rPr>
      </w:pPr>
    </w:p>
    <w:p w14:paraId="33A6DDD2" w14:textId="77777777" w:rsidR="006E10E4" w:rsidRPr="006E10E4" w:rsidRDefault="006E10E4" w:rsidP="006E10E4">
      <w:pPr>
        <w:pStyle w:val="BodyText"/>
        <w:tabs>
          <w:tab w:val="left" w:pos="720"/>
          <w:tab w:val="left" w:pos="2880"/>
          <w:tab w:val="left" w:pos="6120"/>
          <w:tab w:val="left" w:pos="7560"/>
          <w:tab w:val="left" w:pos="8100"/>
        </w:tabs>
        <w:spacing w:before="0" w:beforeAutospacing="0" w:after="0" w:afterAutospacing="0"/>
        <w:ind w:left="720" w:hanging="720"/>
        <w:rPr>
          <w:rFonts w:ascii="Arial" w:hAnsi="Arial" w:cstheme="minorHAnsi"/>
          <w:color w:val="000000"/>
          <w:sz w:val="23"/>
          <w:szCs w:val="23"/>
        </w:rPr>
      </w:pPr>
      <w:r w:rsidRPr="006E10E4">
        <w:rPr>
          <w:rFonts w:ascii="Arial" w:hAnsi="Arial" w:cstheme="minorHAnsi"/>
          <w:b/>
          <w:sz w:val="23"/>
          <w:szCs w:val="23"/>
        </w:rPr>
        <w:t>630</w:t>
      </w:r>
      <w:r w:rsidRPr="006E10E4">
        <w:rPr>
          <w:rFonts w:ascii="Arial" w:hAnsi="Arial" w:cstheme="minorHAnsi"/>
          <w:b/>
          <w:sz w:val="23"/>
          <w:szCs w:val="23"/>
        </w:rPr>
        <w:tab/>
        <w:t>The Recovery Model in Community Mental Health:</w:t>
      </w:r>
      <w:r w:rsidRPr="006E10E4">
        <w:rPr>
          <w:rFonts w:ascii="Arial" w:hAnsi="Arial" w:cstheme="minorHAnsi"/>
          <w:sz w:val="23"/>
          <w:szCs w:val="23"/>
        </w:rPr>
        <w:t xml:space="preserve"> </w:t>
      </w:r>
      <w:r w:rsidRPr="006E10E4">
        <w:rPr>
          <w:rFonts w:ascii="Arial" w:hAnsi="Arial" w:cstheme="minorHAnsi"/>
          <w:color w:val="000000"/>
          <w:sz w:val="23"/>
          <w:szCs w:val="23"/>
        </w:rPr>
        <w:t>Concepts and practices of wellness and recovery for individuals, families, and society. A major emphasis is on applying recovery concepts to culturally diverse, urban, and stigmatized populations and advocating for and with consumers of mental health programs.</w:t>
      </w:r>
    </w:p>
    <w:p w14:paraId="239893B6" w14:textId="77777777" w:rsidR="006E10E4" w:rsidRPr="006E10E4" w:rsidRDefault="006E10E4" w:rsidP="006E10E4">
      <w:pPr>
        <w:pStyle w:val="BodyText"/>
        <w:tabs>
          <w:tab w:val="left" w:pos="720"/>
          <w:tab w:val="left" w:pos="2880"/>
          <w:tab w:val="left" w:pos="6120"/>
          <w:tab w:val="left" w:pos="7560"/>
          <w:tab w:val="left" w:pos="8100"/>
        </w:tabs>
        <w:spacing w:before="0" w:beforeAutospacing="0" w:after="0" w:afterAutospacing="0"/>
        <w:ind w:left="720" w:hanging="720"/>
        <w:rPr>
          <w:rFonts w:ascii="Arial" w:hAnsi="Arial" w:cstheme="minorHAnsi"/>
          <w:color w:val="000000"/>
          <w:sz w:val="23"/>
          <w:szCs w:val="23"/>
        </w:rPr>
      </w:pPr>
    </w:p>
    <w:p w14:paraId="2F677F77" w14:textId="77777777" w:rsidR="006E10E4" w:rsidRPr="006E10E4" w:rsidRDefault="006E10E4" w:rsidP="006E10E4">
      <w:pPr>
        <w:pStyle w:val="BodyText"/>
        <w:tabs>
          <w:tab w:val="left" w:pos="720"/>
          <w:tab w:val="left" w:pos="2880"/>
          <w:tab w:val="left" w:pos="6120"/>
          <w:tab w:val="left" w:pos="7560"/>
          <w:tab w:val="left" w:pos="8100"/>
        </w:tabs>
        <w:spacing w:before="0" w:beforeAutospacing="0" w:after="0" w:afterAutospacing="0"/>
        <w:ind w:left="720" w:hanging="720"/>
        <w:rPr>
          <w:rFonts w:ascii="Arial" w:hAnsi="Arial" w:cstheme="minorHAnsi"/>
          <w:color w:val="000000"/>
          <w:sz w:val="23"/>
          <w:szCs w:val="23"/>
        </w:rPr>
      </w:pPr>
      <w:r w:rsidRPr="006E10E4">
        <w:rPr>
          <w:rFonts w:ascii="Arial" w:hAnsi="Arial" w:cstheme="minorHAnsi"/>
          <w:b/>
          <w:sz w:val="23"/>
          <w:szCs w:val="23"/>
        </w:rPr>
        <w:t>631</w:t>
      </w:r>
      <w:r w:rsidRPr="006E10E4">
        <w:rPr>
          <w:rFonts w:ascii="Arial" w:hAnsi="Arial" w:cstheme="minorHAnsi"/>
          <w:b/>
          <w:sz w:val="23"/>
          <w:szCs w:val="23"/>
        </w:rPr>
        <w:tab/>
        <w:t xml:space="preserve">Advanced Psychosocial Assessment and Diagnosis: </w:t>
      </w:r>
      <w:r w:rsidRPr="006E10E4">
        <w:rPr>
          <w:rFonts w:ascii="Arial" w:hAnsi="Arial" w:cstheme="minorHAnsi"/>
          <w:color w:val="000000"/>
          <w:sz w:val="23"/>
          <w:szCs w:val="23"/>
        </w:rPr>
        <w:t>Advanced study in psychosocial assessment and diagnosis of children, adolescents, and adults. Examination of person-in-environment and DSM-V diagnosis.</w:t>
      </w:r>
    </w:p>
    <w:p w14:paraId="3091C39C" w14:textId="77777777" w:rsidR="006E10E4" w:rsidRPr="006E10E4" w:rsidRDefault="006E10E4" w:rsidP="006E10E4">
      <w:pPr>
        <w:pStyle w:val="BodyText"/>
        <w:tabs>
          <w:tab w:val="left" w:pos="720"/>
          <w:tab w:val="left" w:pos="2880"/>
          <w:tab w:val="left" w:pos="6120"/>
          <w:tab w:val="left" w:pos="7560"/>
          <w:tab w:val="left" w:pos="8100"/>
        </w:tabs>
        <w:spacing w:before="0" w:beforeAutospacing="0" w:after="0" w:afterAutospacing="0"/>
        <w:ind w:left="720" w:hanging="720"/>
        <w:rPr>
          <w:rFonts w:ascii="Arial" w:hAnsi="Arial" w:cstheme="minorHAnsi"/>
          <w:b/>
          <w:color w:val="000000"/>
          <w:sz w:val="23"/>
          <w:szCs w:val="23"/>
        </w:rPr>
      </w:pPr>
    </w:p>
    <w:p w14:paraId="630A072B" w14:textId="77777777" w:rsidR="006E10E4" w:rsidRPr="006E10E4" w:rsidRDefault="006E10E4" w:rsidP="006E10E4">
      <w:pPr>
        <w:tabs>
          <w:tab w:val="left" w:pos="2700"/>
        </w:tabs>
        <w:spacing w:after="0" w:line="240" w:lineRule="auto"/>
        <w:ind w:left="720" w:hanging="720"/>
        <w:rPr>
          <w:rFonts w:ascii="Arial" w:hAnsi="Arial" w:cstheme="minorHAnsi"/>
          <w:color w:val="000000"/>
          <w:sz w:val="23"/>
          <w:szCs w:val="23"/>
        </w:rPr>
      </w:pPr>
      <w:r w:rsidRPr="006E10E4">
        <w:rPr>
          <w:rFonts w:ascii="Arial" w:hAnsi="Arial" w:cstheme="minorHAnsi"/>
          <w:b/>
          <w:sz w:val="23"/>
          <w:szCs w:val="23"/>
        </w:rPr>
        <w:t>632</w:t>
      </w:r>
      <w:r w:rsidRPr="006E10E4">
        <w:rPr>
          <w:rFonts w:ascii="Arial" w:hAnsi="Arial" w:cstheme="minorHAnsi"/>
          <w:b/>
          <w:sz w:val="23"/>
          <w:szCs w:val="23"/>
        </w:rPr>
        <w:tab/>
        <w:t xml:space="preserve">Family Violence Across the Lifespan: </w:t>
      </w:r>
      <w:r w:rsidRPr="006E10E4">
        <w:rPr>
          <w:rFonts w:ascii="Arial" w:hAnsi="Arial" w:cstheme="minorHAnsi"/>
          <w:color w:val="000000"/>
          <w:sz w:val="23"/>
          <w:szCs w:val="23"/>
        </w:rPr>
        <w:t>This course provides students with an overview of family violence. It surveys the historical and social background of family violence, its social and psychological consequences for individuals, families and communities, as well as its prevention and intervention.</w:t>
      </w:r>
    </w:p>
    <w:p w14:paraId="12C1F21D" w14:textId="77777777" w:rsidR="006E10E4" w:rsidRPr="006E10E4" w:rsidRDefault="006E10E4" w:rsidP="006E10E4">
      <w:pPr>
        <w:tabs>
          <w:tab w:val="left" w:pos="2700"/>
        </w:tabs>
        <w:spacing w:after="0" w:line="240" w:lineRule="auto"/>
        <w:ind w:left="720" w:hanging="720"/>
        <w:rPr>
          <w:rFonts w:ascii="Arial" w:hAnsi="Arial" w:cstheme="minorHAnsi"/>
          <w:b/>
          <w:sz w:val="23"/>
          <w:szCs w:val="23"/>
        </w:rPr>
      </w:pPr>
    </w:p>
    <w:p w14:paraId="3571EED2" w14:textId="77777777" w:rsidR="006E10E4" w:rsidRPr="006E10E4" w:rsidRDefault="006E10E4" w:rsidP="006E10E4">
      <w:pPr>
        <w:tabs>
          <w:tab w:val="left" w:pos="2700"/>
        </w:tabs>
        <w:spacing w:after="0" w:line="240" w:lineRule="auto"/>
        <w:ind w:left="720" w:hanging="720"/>
        <w:rPr>
          <w:rFonts w:ascii="Arial" w:eastAsia="Times New Roman" w:hAnsi="Arial" w:cstheme="minorHAnsi"/>
          <w:color w:val="000000"/>
          <w:sz w:val="23"/>
          <w:szCs w:val="23"/>
        </w:rPr>
      </w:pPr>
      <w:r w:rsidRPr="006E10E4">
        <w:rPr>
          <w:rFonts w:ascii="Arial" w:hAnsi="Arial" w:cstheme="minorHAnsi"/>
          <w:b/>
          <w:sz w:val="23"/>
          <w:szCs w:val="23"/>
        </w:rPr>
        <w:t xml:space="preserve">633 </w:t>
      </w:r>
      <w:r w:rsidRPr="006E10E4">
        <w:rPr>
          <w:rFonts w:ascii="Arial" w:hAnsi="Arial" w:cstheme="minorHAnsi"/>
          <w:b/>
          <w:sz w:val="23"/>
          <w:szCs w:val="23"/>
        </w:rPr>
        <w:tab/>
        <w:t xml:space="preserve">Assessment and Treatment of Substance Abuse: </w:t>
      </w:r>
      <w:r w:rsidRPr="006E10E4">
        <w:rPr>
          <w:rFonts w:ascii="Arial" w:eastAsia="Times New Roman" w:hAnsi="Arial" w:cstheme="minorHAnsi"/>
          <w:color w:val="000000"/>
          <w:sz w:val="23"/>
          <w:szCs w:val="23"/>
        </w:rPr>
        <w:t>Assessment and treatment of substance abuse issues in social work practice. Topics include prevalence of substance abuse, dual diagnosis, family systems, and evidence-based practices.</w:t>
      </w:r>
    </w:p>
    <w:p w14:paraId="6EE3AF2D" w14:textId="77777777" w:rsidR="006E10E4" w:rsidRPr="006E10E4" w:rsidRDefault="006E10E4" w:rsidP="006E10E4">
      <w:pPr>
        <w:tabs>
          <w:tab w:val="left" w:pos="2700"/>
        </w:tabs>
        <w:spacing w:after="0" w:line="240" w:lineRule="auto"/>
        <w:ind w:left="720" w:hanging="720"/>
        <w:rPr>
          <w:rFonts w:ascii="Arial" w:hAnsi="Arial" w:cstheme="minorHAnsi"/>
          <w:b/>
          <w:sz w:val="23"/>
          <w:szCs w:val="23"/>
        </w:rPr>
      </w:pPr>
    </w:p>
    <w:p w14:paraId="2FC436BA" w14:textId="77777777" w:rsidR="006E10E4" w:rsidRPr="006E10E4" w:rsidRDefault="006E10E4" w:rsidP="006E10E4">
      <w:pPr>
        <w:tabs>
          <w:tab w:val="left" w:pos="2700"/>
        </w:tabs>
        <w:spacing w:after="0" w:line="240" w:lineRule="auto"/>
        <w:ind w:left="720" w:hanging="720"/>
        <w:rPr>
          <w:rFonts w:ascii="Arial" w:hAnsi="Arial" w:cstheme="minorHAnsi"/>
          <w:color w:val="000000"/>
          <w:sz w:val="23"/>
          <w:szCs w:val="23"/>
        </w:rPr>
      </w:pPr>
      <w:r w:rsidRPr="006E10E4">
        <w:rPr>
          <w:rFonts w:ascii="Arial" w:hAnsi="Arial" w:cstheme="minorHAnsi"/>
          <w:b/>
          <w:sz w:val="23"/>
          <w:szCs w:val="23"/>
        </w:rPr>
        <w:t>634</w:t>
      </w:r>
      <w:r w:rsidRPr="006E10E4">
        <w:rPr>
          <w:rFonts w:ascii="Arial" w:hAnsi="Arial" w:cstheme="minorHAnsi"/>
          <w:b/>
          <w:sz w:val="23"/>
          <w:szCs w:val="23"/>
        </w:rPr>
        <w:tab/>
        <w:t xml:space="preserve">Legal Issues in Social Work Practice: </w:t>
      </w:r>
      <w:r w:rsidRPr="006E10E4">
        <w:rPr>
          <w:rFonts w:ascii="Arial" w:eastAsia="Times New Roman" w:hAnsi="Arial" w:cstheme="minorHAnsi"/>
          <w:color w:val="000000"/>
          <w:sz w:val="23"/>
          <w:szCs w:val="23"/>
        </w:rPr>
        <w:t>In-depth exploration of complex legal issues in social work practice such as confidentiality, minor consent law, abortion, parental rights, access and consent to treatment, mental health commitment procedures, rights of dependent adults, rights of children, marriage, and divorce</w:t>
      </w:r>
      <w:r w:rsidRPr="006E10E4">
        <w:rPr>
          <w:rFonts w:ascii="Arial" w:eastAsia="Times New Roman" w:hAnsi="Arial" w:cs="Times New Roman"/>
          <w:color w:val="000000"/>
          <w:sz w:val="23"/>
          <w:szCs w:val="23"/>
        </w:rPr>
        <w:t>.</w:t>
      </w:r>
    </w:p>
    <w:p w14:paraId="15744E45" w14:textId="77777777" w:rsidR="006E10E4" w:rsidRPr="006E10E4" w:rsidRDefault="006E10E4" w:rsidP="006E10E4">
      <w:pPr>
        <w:tabs>
          <w:tab w:val="left" w:pos="720"/>
        </w:tabs>
        <w:spacing w:after="0" w:line="240" w:lineRule="auto"/>
        <w:rPr>
          <w:rFonts w:ascii="Arial" w:hAnsi="Arial"/>
          <w:sz w:val="23"/>
          <w:szCs w:val="23"/>
        </w:rPr>
      </w:pPr>
    </w:p>
    <w:p w14:paraId="29EB7899" w14:textId="77777777" w:rsidR="006E10E4" w:rsidRPr="006E10E4" w:rsidRDefault="006E10E4" w:rsidP="006E10E4">
      <w:pPr>
        <w:spacing w:after="0" w:line="240" w:lineRule="auto"/>
        <w:ind w:left="720" w:hanging="720"/>
        <w:rPr>
          <w:rFonts w:ascii="Arial" w:hAnsi="Arial" w:cstheme="minorHAnsi"/>
          <w:sz w:val="23"/>
          <w:szCs w:val="23"/>
        </w:rPr>
      </w:pPr>
      <w:r w:rsidRPr="006E10E4">
        <w:rPr>
          <w:rFonts w:ascii="Arial" w:hAnsi="Arial"/>
          <w:b/>
          <w:sz w:val="23"/>
          <w:szCs w:val="23"/>
        </w:rPr>
        <w:t>697</w:t>
      </w:r>
      <w:r w:rsidRPr="006E10E4">
        <w:rPr>
          <w:rFonts w:ascii="Arial" w:hAnsi="Arial"/>
          <w:b/>
          <w:sz w:val="23"/>
          <w:szCs w:val="23"/>
        </w:rPr>
        <w:tab/>
      </w:r>
      <w:sdt>
        <w:sdtPr>
          <w:rPr>
            <w:rFonts w:ascii="Arial" w:hAnsi="Arial" w:cstheme="minorHAnsi"/>
            <w:sz w:val="23"/>
            <w:szCs w:val="23"/>
          </w:rPr>
          <w:alias w:val="Catalog Description"/>
          <w:tag w:val="Catalog Description"/>
          <w:id w:val="-446855953"/>
        </w:sdtPr>
        <w:sdtContent>
          <w:r w:rsidRPr="006E10E4">
            <w:rPr>
              <w:rFonts w:ascii="Arial" w:hAnsi="Arial" w:cstheme="minorHAnsi"/>
              <w:b/>
              <w:sz w:val="23"/>
              <w:szCs w:val="23"/>
            </w:rPr>
            <w:t>Issues in Social Work</w:t>
          </w:r>
          <w:r w:rsidRPr="006E10E4">
            <w:rPr>
              <w:rFonts w:ascii="Arial" w:hAnsi="Arial" w:cstheme="minorHAnsi"/>
              <w:sz w:val="23"/>
              <w:szCs w:val="23"/>
            </w:rPr>
            <w:t xml:space="preserve"> (1-4</w:t>
          </w:r>
          <w:r w:rsidRPr="006E10E4">
            <w:rPr>
              <w:rFonts w:ascii="Arial" w:hAnsi="Arial" w:cstheme="minorHAnsi"/>
              <w:sz w:val="23"/>
              <w:szCs w:val="23"/>
            </w:rPr>
            <w:t xml:space="preserve"> units</w:t>
          </w:r>
          <w:r w:rsidRPr="006E10E4">
            <w:rPr>
              <w:rFonts w:ascii="Arial" w:hAnsi="Arial" w:cstheme="minorHAnsi"/>
              <w:sz w:val="23"/>
              <w:szCs w:val="23"/>
            </w:rPr>
            <w:t xml:space="preserve">): </w:t>
          </w:r>
          <w:r w:rsidRPr="006E10E4">
            <w:rPr>
              <w:rFonts w:ascii="Arial" w:hAnsi="Arial"/>
              <w:sz w:val="23"/>
              <w:szCs w:val="23"/>
            </w:rPr>
            <w:t>Readings, discussion, and research on contemporary and/or significant issues in social work. May be repeated for credit when content varies, for a maximum of 8 units.</w:t>
          </w:r>
        </w:sdtContent>
      </w:sdt>
    </w:p>
    <w:p w14:paraId="497E3CA7" w14:textId="77777777" w:rsidR="003E08AD" w:rsidRPr="006E10E4" w:rsidRDefault="003E08AD">
      <w:pPr>
        <w:rPr>
          <w:rFonts w:ascii="Arial" w:hAnsi="Arial"/>
          <w:sz w:val="23"/>
          <w:szCs w:val="23"/>
        </w:rPr>
      </w:pPr>
    </w:p>
    <w:sectPr w:rsidR="003E08AD" w:rsidRPr="006E10E4" w:rsidSect="006E10E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5767" w14:textId="77777777" w:rsidR="006E10E4" w:rsidRDefault="006E10E4" w:rsidP="006E10E4">
      <w:pPr>
        <w:spacing w:after="0" w:line="240" w:lineRule="auto"/>
      </w:pPr>
      <w:r>
        <w:separator/>
      </w:r>
    </w:p>
  </w:endnote>
  <w:endnote w:type="continuationSeparator" w:id="0">
    <w:p w14:paraId="5656E8F2" w14:textId="77777777" w:rsidR="006E10E4" w:rsidRDefault="006E10E4" w:rsidP="006E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6FD2" w14:textId="77777777" w:rsidR="006E10E4" w:rsidRPr="006E10E4" w:rsidRDefault="006E10E4">
    <w:pPr>
      <w:pStyle w:val="Footer"/>
      <w:rPr>
        <w:rFonts w:ascii="Arial" w:hAnsi="Arial"/>
        <w:i/>
        <w:sz w:val="21"/>
        <w:szCs w:val="21"/>
      </w:rPr>
    </w:pPr>
    <w:r w:rsidRPr="006E10E4">
      <w:rPr>
        <w:rFonts w:ascii="Arial" w:hAnsi="Arial"/>
        <w:i/>
        <w:sz w:val="21"/>
        <w:szCs w:val="21"/>
      </w:rPr>
      <w:t>Updated 03-12-18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9BFEB" w14:textId="77777777" w:rsidR="006E10E4" w:rsidRDefault="006E10E4" w:rsidP="006E10E4">
      <w:pPr>
        <w:spacing w:after="0" w:line="240" w:lineRule="auto"/>
      </w:pPr>
      <w:r>
        <w:separator/>
      </w:r>
    </w:p>
  </w:footnote>
  <w:footnote w:type="continuationSeparator" w:id="0">
    <w:p w14:paraId="3BE41AA0" w14:textId="77777777" w:rsidR="006E10E4" w:rsidRDefault="006E10E4" w:rsidP="006E1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B3"/>
    <w:rsid w:val="003E08AD"/>
    <w:rsid w:val="006E10E4"/>
    <w:rsid w:val="00A02EB3"/>
    <w:rsid w:val="00DC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6C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E4"/>
    <w:pPr>
      <w:spacing w:after="200" w:line="276" w:lineRule="auto"/>
    </w:pPr>
    <w:rPr>
      <w:rFonts w:eastAsiaTheme="minorHAnsi"/>
      <w:sz w:val="22"/>
      <w:szCs w:val="22"/>
    </w:rPr>
  </w:style>
  <w:style w:type="paragraph" w:styleId="Heading2">
    <w:name w:val="heading 2"/>
    <w:basedOn w:val="Normal"/>
    <w:next w:val="Normal"/>
    <w:link w:val="Heading2Char"/>
    <w:autoRedefine/>
    <w:uiPriority w:val="9"/>
    <w:unhideWhenUsed/>
    <w:qFormat/>
    <w:rsid w:val="006E10E4"/>
    <w:pPr>
      <w:keepNext/>
      <w:keepLines/>
      <w:spacing w:after="0" w:line="240" w:lineRule="auto"/>
      <w:jc w:val="center"/>
      <w:outlineLvl w:val="1"/>
    </w:pPr>
    <w:rPr>
      <w:rFonts w:ascii="Arial" w:eastAsiaTheme="majorEastAsia" w:hAnsi="Arial" w:cstheme="min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0E4"/>
    <w:rPr>
      <w:rFonts w:ascii="Arial" w:eastAsiaTheme="majorEastAsia" w:hAnsi="Arial" w:cstheme="minorHAnsi"/>
      <w:b/>
      <w:bCs/>
      <w:color w:val="000000" w:themeColor="text1"/>
      <w:sz w:val="32"/>
      <w:szCs w:val="32"/>
    </w:rPr>
  </w:style>
  <w:style w:type="paragraph" w:styleId="BodyText">
    <w:name w:val="Body Text"/>
    <w:basedOn w:val="Normal"/>
    <w:link w:val="BodyTextChar"/>
    <w:rsid w:val="006E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10E4"/>
    <w:rPr>
      <w:rFonts w:ascii="Times New Roman" w:eastAsia="Times New Roman" w:hAnsi="Times New Roman" w:cs="Times New Roman"/>
    </w:rPr>
  </w:style>
  <w:style w:type="paragraph" w:styleId="Header">
    <w:name w:val="header"/>
    <w:basedOn w:val="Normal"/>
    <w:link w:val="HeaderChar"/>
    <w:uiPriority w:val="99"/>
    <w:unhideWhenUsed/>
    <w:rsid w:val="006E10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10E4"/>
    <w:rPr>
      <w:rFonts w:eastAsiaTheme="minorHAnsi"/>
      <w:sz w:val="22"/>
      <w:szCs w:val="22"/>
    </w:rPr>
  </w:style>
  <w:style w:type="paragraph" w:styleId="Footer">
    <w:name w:val="footer"/>
    <w:basedOn w:val="Normal"/>
    <w:link w:val="FooterChar"/>
    <w:uiPriority w:val="99"/>
    <w:unhideWhenUsed/>
    <w:rsid w:val="006E10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0E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E4"/>
    <w:pPr>
      <w:spacing w:after="200" w:line="276" w:lineRule="auto"/>
    </w:pPr>
    <w:rPr>
      <w:rFonts w:eastAsiaTheme="minorHAnsi"/>
      <w:sz w:val="22"/>
      <w:szCs w:val="22"/>
    </w:rPr>
  </w:style>
  <w:style w:type="paragraph" w:styleId="Heading2">
    <w:name w:val="heading 2"/>
    <w:basedOn w:val="Normal"/>
    <w:next w:val="Normal"/>
    <w:link w:val="Heading2Char"/>
    <w:autoRedefine/>
    <w:uiPriority w:val="9"/>
    <w:unhideWhenUsed/>
    <w:qFormat/>
    <w:rsid w:val="006E10E4"/>
    <w:pPr>
      <w:keepNext/>
      <w:keepLines/>
      <w:spacing w:after="0" w:line="240" w:lineRule="auto"/>
      <w:jc w:val="center"/>
      <w:outlineLvl w:val="1"/>
    </w:pPr>
    <w:rPr>
      <w:rFonts w:ascii="Arial" w:eastAsiaTheme="majorEastAsia" w:hAnsi="Arial" w:cstheme="min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0E4"/>
    <w:rPr>
      <w:rFonts w:ascii="Arial" w:eastAsiaTheme="majorEastAsia" w:hAnsi="Arial" w:cstheme="minorHAnsi"/>
      <w:b/>
      <w:bCs/>
      <w:color w:val="000000" w:themeColor="text1"/>
      <w:sz w:val="32"/>
      <w:szCs w:val="32"/>
    </w:rPr>
  </w:style>
  <w:style w:type="paragraph" w:styleId="BodyText">
    <w:name w:val="Body Text"/>
    <w:basedOn w:val="Normal"/>
    <w:link w:val="BodyTextChar"/>
    <w:rsid w:val="006E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10E4"/>
    <w:rPr>
      <w:rFonts w:ascii="Times New Roman" w:eastAsia="Times New Roman" w:hAnsi="Times New Roman" w:cs="Times New Roman"/>
    </w:rPr>
  </w:style>
  <w:style w:type="paragraph" w:styleId="Header">
    <w:name w:val="header"/>
    <w:basedOn w:val="Normal"/>
    <w:link w:val="HeaderChar"/>
    <w:uiPriority w:val="99"/>
    <w:unhideWhenUsed/>
    <w:rsid w:val="006E10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10E4"/>
    <w:rPr>
      <w:rFonts w:eastAsiaTheme="minorHAnsi"/>
      <w:sz w:val="22"/>
      <w:szCs w:val="22"/>
    </w:rPr>
  </w:style>
  <w:style w:type="paragraph" w:styleId="Footer">
    <w:name w:val="footer"/>
    <w:basedOn w:val="Normal"/>
    <w:link w:val="FooterChar"/>
    <w:uiPriority w:val="99"/>
    <w:unhideWhenUsed/>
    <w:rsid w:val="006E10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0E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1038</Words>
  <Characters>5920</Characters>
  <Application>Microsoft Macintosh Word</Application>
  <DocSecurity>0</DocSecurity>
  <Lines>49</Lines>
  <Paragraphs>13</Paragraphs>
  <ScaleCrop>false</ScaleCrop>
  <Company>CSUEB</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Wong</dc:creator>
  <cp:keywords/>
  <dc:description/>
  <cp:lastModifiedBy>Rose Wong</cp:lastModifiedBy>
  <cp:revision>3</cp:revision>
  <dcterms:created xsi:type="dcterms:W3CDTF">2018-03-12T15:47:00Z</dcterms:created>
  <dcterms:modified xsi:type="dcterms:W3CDTF">2018-03-12T15:53:00Z</dcterms:modified>
</cp:coreProperties>
</file>