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54" w:rsidRDefault="008D5854" w:rsidP="004158AA">
      <w:pPr>
        <w:pStyle w:val="Title"/>
      </w:pPr>
    </w:p>
    <w:p w:rsidR="006C2A27" w:rsidRPr="004158AA" w:rsidRDefault="004158AA" w:rsidP="004158AA">
      <w:pPr>
        <w:pStyle w:val="Title"/>
      </w:pPr>
      <w:r w:rsidRPr="004158AA">
        <w:t>Cash Posting Order (CPO) Procedures for Campus Departments</w:t>
      </w:r>
    </w:p>
    <w:p w:rsidR="004158AA" w:rsidRDefault="004158AA" w:rsidP="004158AA">
      <w:pPr>
        <w:pStyle w:val="Heading1"/>
      </w:pPr>
      <w:r>
        <w:t>Background and Purpose</w:t>
      </w:r>
    </w:p>
    <w:p w:rsidR="004158AA" w:rsidRDefault="004158AA" w:rsidP="004158AA">
      <w:pPr>
        <w:rPr>
          <w:rFonts w:ascii="Tahoma" w:eastAsia="Times New Roman" w:hAnsi="Tahoma" w:cs="Tahoma"/>
          <w:color w:val="000000"/>
          <w:sz w:val="24"/>
          <w:szCs w:val="24"/>
        </w:rPr>
      </w:pPr>
      <w:r w:rsidRPr="004158AA">
        <w:rPr>
          <w:rFonts w:ascii="Tahoma" w:eastAsia="Times New Roman" w:hAnsi="Tahoma" w:cs="Tahoma"/>
          <w:color w:val="000000"/>
          <w:sz w:val="24"/>
          <w:szCs w:val="24"/>
        </w:rPr>
        <w:t xml:space="preserve">Cash Posting Orders </w:t>
      </w:r>
      <w:r w:rsidR="0098169E">
        <w:rPr>
          <w:rFonts w:ascii="Tahoma" w:eastAsia="Times New Roman" w:hAnsi="Tahoma" w:cs="Tahoma"/>
          <w:color w:val="000000"/>
          <w:sz w:val="24"/>
          <w:szCs w:val="24"/>
        </w:rPr>
        <w:t xml:space="preserve">(CPOs) </w:t>
      </w:r>
      <w:r w:rsidRPr="004158AA">
        <w:rPr>
          <w:rFonts w:ascii="Tahoma" w:eastAsia="Times New Roman" w:hAnsi="Tahoma" w:cs="Tahoma"/>
          <w:color w:val="000000"/>
          <w:sz w:val="24"/>
          <w:szCs w:val="24"/>
        </w:rPr>
        <w:t xml:space="preserve">are the tool used to move cash between </w:t>
      </w:r>
      <w:r w:rsidR="00343832">
        <w:rPr>
          <w:rFonts w:ascii="Tahoma" w:eastAsia="Times New Roman" w:hAnsi="Tahoma" w:cs="Tahoma"/>
          <w:color w:val="000000"/>
          <w:sz w:val="24"/>
          <w:szCs w:val="24"/>
        </w:rPr>
        <w:t>CSUEB</w:t>
      </w:r>
      <w:r w:rsidR="00E44B6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4158AA">
        <w:rPr>
          <w:rFonts w:ascii="Tahoma" w:eastAsia="Times New Roman" w:hAnsi="Tahoma" w:cs="Tahoma"/>
          <w:color w:val="000000"/>
          <w:sz w:val="24"/>
          <w:szCs w:val="24"/>
        </w:rPr>
        <w:t>and either another CSU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4158AA">
        <w:rPr>
          <w:rFonts w:ascii="Tahoma" w:eastAsia="Times New Roman" w:hAnsi="Tahoma" w:cs="Tahoma"/>
          <w:color w:val="000000"/>
          <w:sz w:val="24"/>
          <w:szCs w:val="24"/>
        </w:rPr>
        <w:t>campus or</w:t>
      </w:r>
      <w:r w:rsidR="000761BD">
        <w:rPr>
          <w:rFonts w:ascii="Tahoma" w:eastAsia="Times New Roman" w:hAnsi="Tahoma" w:cs="Tahoma"/>
          <w:color w:val="000000"/>
          <w:sz w:val="24"/>
          <w:szCs w:val="24"/>
        </w:rPr>
        <w:t xml:space="preserve"> the Chancellor's Office (CO). </w:t>
      </w:r>
      <w:r w:rsidRPr="004158AA">
        <w:rPr>
          <w:rFonts w:ascii="Tahoma" w:eastAsia="Times New Roman" w:hAnsi="Tahoma" w:cs="Tahoma"/>
          <w:color w:val="000000"/>
          <w:sz w:val="24"/>
          <w:szCs w:val="24"/>
        </w:rPr>
        <w:t xml:space="preserve">Any transfer between two or more CSU campuses or </w:t>
      </w:r>
      <w:r w:rsidR="00343832">
        <w:rPr>
          <w:rFonts w:ascii="Tahoma" w:eastAsia="Times New Roman" w:hAnsi="Tahoma" w:cs="Tahoma"/>
          <w:color w:val="000000"/>
          <w:sz w:val="24"/>
          <w:szCs w:val="24"/>
        </w:rPr>
        <w:t>CSUEB</w:t>
      </w:r>
      <w:r w:rsidR="000761BD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4158AA">
        <w:rPr>
          <w:rFonts w:ascii="Tahoma" w:eastAsia="Times New Roman" w:hAnsi="Tahoma" w:cs="Tahoma"/>
          <w:color w:val="000000"/>
          <w:sz w:val="24"/>
          <w:szCs w:val="24"/>
        </w:rPr>
        <w:t>and the CO should be processed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0761BD">
        <w:rPr>
          <w:rFonts w:ascii="Tahoma" w:eastAsia="Times New Roman" w:hAnsi="Tahoma" w:cs="Tahoma"/>
          <w:color w:val="000000"/>
          <w:sz w:val="24"/>
          <w:szCs w:val="24"/>
        </w:rPr>
        <w:t xml:space="preserve">with a CPO. </w:t>
      </w:r>
      <w:r w:rsidRPr="004158AA">
        <w:rPr>
          <w:rFonts w:ascii="Tahoma" w:eastAsia="Times New Roman" w:hAnsi="Tahoma" w:cs="Tahoma"/>
          <w:color w:val="000000"/>
          <w:sz w:val="24"/>
          <w:szCs w:val="24"/>
        </w:rPr>
        <w:t xml:space="preserve">All CPO transfers </w:t>
      </w:r>
      <w:r w:rsidR="00343832">
        <w:rPr>
          <w:rFonts w:ascii="Tahoma" w:eastAsia="Times New Roman" w:hAnsi="Tahoma" w:cs="Tahoma"/>
          <w:color w:val="000000"/>
          <w:sz w:val="24"/>
          <w:szCs w:val="24"/>
        </w:rPr>
        <w:t>should be requested through General Accounting.</w:t>
      </w:r>
    </w:p>
    <w:p w:rsidR="00E44B6E" w:rsidRDefault="00E44B6E" w:rsidP="00C17D7C">
      <w:pPr>
        <w:pStyle w:val="Heading1"/>
        <w:rPr>
          <w:rFonts w:eastAsia="Times New Roman"/>
        </w:rPr>
      </w:pPr>
      <w:r>
        <w:rPr>
          <w:rFonts w:eastAsia="Times New Roman"/>
        </w:rPr>
        <w:t>Examples of CPO’s:</w:t>
      </w:r>
    </w:p>
    <w:p w:rsidR="000761BD" w:rsidRDefault="00E44B6E" w:rsidP="000761BD">
      <w:pPr>
        <w:pStyle w:val="ListParagraph"/>
        <w:numPr>
          <w:ilvl w:val="0"/>
          <w:numId w:val="3"/>
        </w:numPr>
        <w:spacing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761BD">
        <w:rPr>
          <w:rFonts w:ascii="Tahoma" w:eastAsia="Times New Roman" w:hAnsi="Tahoma" w:cs="Tahoma"/>
          <w:color w:val="000000"/>
          <w:sz w:val="24"/>
          <w:szCs w:val="24"/>
        </w:rPr>
        <w:t>Travel reimbursements from the CO</w:t>
      </w:r>
    </w:p>
    <w:p w:rsidR="000761BD" w:rsidRDefault="00E44B6E" w:rsidP="000761BD">
      <w:pPr>
        <w:pStyle w:val="ListParagraph"/>
        <w:numPr>
          <w:ilvl w:val="0"/>
          <w:numId w:val="3"/>
        </w:numPr>
        <w:spacing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761BD">
        <w:rPr>
          <w:rFonts w:ascii="Tahoma" w:eastAsia="Times New Roman" w:hAnsi="Tahoma" w:cs="Tahoma"/>
          <w:color w:val="000000"/>
          <w:sz w:val="24"/>
          <w:szCs w:val="24"/>
        </w:rPr>
        <w:t>Payments to another campus for conference registration</w:t>
      </w:r>
    </w:p>
    <w:p w:rsidR="000761BD" w:rsidRPr="000761BD" w:rsidRDefault="00361A0F" w:rsidP="000761BD">
      <w:pPr>
        <w:pStyle w:val="ListParagraph"/>
        <w:numPr>
          <w:ilvl w:val="0"/>
          <w:numId w:val="3"/>
        </w:numPr>
        <w:spacing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Reimbursements by CO or other CSU campus for a portion of salary</w:t>
      </w:r>
    </w:p>
    <w:p w:rsidR="004158AA" w:rsidRDefault="0098169E" w:rsidP="0098169E">
      <w:pPr>
        <w:pStyle w:val="Heading1"/>
        <w:rPr>
          <w:rFonts w:eastAsia="Times New Roman"/>
        </w:rPr>
      </w:pPr>
      <w:r>
        <w:rPr>
          <w:rFonts w:eastAsia="Times New Roman"/>
        </w:rPr>
        <w:t>Contacts</w:t>
      </w:r>
    </w:p>
    <w:p w:rsidR="0098169E" w:rsidRPr="0098169E" w:rsidRDefault="0098169E" w:rsidP="0098169E">
      <w:pPr>
        <w:rPr>
          <w:rFonts w:ascii="Tahoma" w:eastAsia="Times New Roman" w:hAnsi="Tahoma" w:cs="Tahoma"/>
          <w:color w:val="000000"/>
          <w:sz w:val="24"/>
          <w:szCs w:val="24"/>
        </w:rPr>
      </w:pPr>
      <w:r w:rsidRPr="0098169E">
        <w:rPr>
          <w:rFonts w:ascii="Tahoma" w:eastAsia="Times New Roman" w:hAnsi="Tahoma" w:cs="Tahoma"/>
          <w:color w:val="000000"/>
          <w:sz w:val="24"/>
          <w:szCs w:val="24"/>
        </w:rPr>
        <w:t xml:space="preserve">The first point of contact for a </w:t>
      </w:r>
      <w:r w:rsidR="00343832">
        <w:rPr>
          <w:rFonts w:ascii="Tahoma" w:eastAsia="Times New Roman" w:hAnsi="Tahoma" w:cs="Tahoma"/>
          <w:color w:val="000000"/>
          <w:sz w:val="24"/>
          <w:szCs w:val="24"/>
        </w:rPr>
        <w:t>CSUEB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98169E">
        <w:rPr>
          <w:rFonts w:ascii="Tahoma" w:eastAsia="Times New Roman" w:hAnsi="Tahoma" w:cs="Tahoma"/>
          <w:color w:val="000000"/>
          <w:sz w:val="24"/>
          <w:szCs w:val="24"/>
        </w:rPr>
        <w:t xml:space="preserve">department should always be the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following </w:t>
      </w:r>
      <w:r w:rsidR="00343832">
        <w:rPr>
          <w:rFonts w:ascii="Tahoma" w:eastAsia="Times New Roman" w:hAnsi="Tahoma" w:cs="Tahoma"/>
          <w:color w:val="000000"/>
          <w:sz w:val="24"/>
          <w:szCs w:val="24"/>
        </w:rPr>
        <w:t>General Accounting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A26BC1">
        <w:rPr>
          <w:rFonts w:ascii="Tahoma" w:eastAsia="Times New Roman" w:hAnsi="Tahoma" w:cs="Tahoma"/>
          <w:color w:val="000000"/>
          <w:sz w:val="24"/>
          <w:szCs w:val="24"/>
        </w:rPr>
        <w:t>staff</w:t>
      </w:r>
      <w:r>
        <w:rPr>
          <w:rFonts w:ascii="Tahoma" w:eastAsia="Times New Roman" w:hAnsi="Tahoma" w:cs="Tahoma"/>
          <w:color w:val="000000"/>
          <w:sz w:val="24"/>
          <w:szCs w:val="24"/>
        </w:rPr>
        <w:t>:</w:t>
      </w:r>
    </w:p>
    <w:p w:rsidR="0098169E" w:rsidRDefault="00343832" w:rsidP="0098169E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Donna 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</w:rPr>
        <w:t>Arredondo</w:t>
      </w:r>
      <w:r w:rsidR="0098169E" w:rsidRPr="0098169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gramEnd"/>
      <w:hyperlink r:id="rId8" w:history="1">
        <w:r w:rsidRPr="00045873">
          <w:rPr>
            <w:rStyle w:val="Hyperlink"/>
            <w:rFonts w:ascii="Tahoma" w:eastAsia="Times New Roman" w:hAnsi="Tahoma" w:cs="Tahoma"/>
            <w:sz w:val="24"/>
            <w:szCs w:val="24"/>
          </w:rPr>
          <w:t>donna.arredondo@csueastbay.edu</w:t>
        </w:r>
      </w:hyperlink>
      <w:r w:rsidR="00C25F13">
        <w:rPr>
          <w:rFonts w:ascii="Tahoma" w:eastAsia="Times New Roman" w:hAnsi="Tahoma" w:cs="Tahoma"/>
          <w:color w:val="000000"/>
          <w:sz w:val="24"/>
          <w:szCs w:val="24"/>
        </w:rPr>
        <w:t xml:space="preserve"> (Main Contact)</w:t>
      </w:r>
    </w:p>
    <w:p w:rsidR="00C25F13" w:rsidRDefault="009134DA" w:rsidP="0098169E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Dan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Huffenberger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hyperlink r:id="rId9" w:history="1">
        <w:r w:rsidRPr="00E02CA8">
          <w:rPr>
            <w:rStyle w:val="Hyperlink"/>
            <w:rFonts w:ascii="Tahoma" w:eastAsia="Times New Roman" w:hAnsi="Tahoma" w:cs="Tahoma"/>
            <w:sz w:val="24"/>
            <w:szCs w:val="24"/>
          </w:rPr>
          <w:t>dan.huffenberger@csueastbay.edu</w:t>
        </w:r>
      </w:hyperlink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C25F13" w:rsidRDefault="00C25F13" w:rsidP="0098169E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Zhenxing Ma </w:t>
      </w:r>
      <w:hyperlink r:id="rId10" w:history="1">
        <w:r w:rsidRPr="009F58AD">
          <w:rPr>
            <w:rStyle w:val="Hyperlink"/>
            <w:rFonts w:ascii="Tahoma" w:eastAsia="Times New Roman" w:hAnsi="Tahoma" w:cs="Tahoma"/>
            <w:sz w:val="24"/>
            <w:szCs w:val="24"/>
          </w:rPr>
          <w:t>zhenzing.ma@csueastbay.edu</w:t>
        </w:r>
      </w:hyperlink>
    </w:p>
    <w:p w:rsidR="0098169E" w:rsidRDefault="0098169E" w:rsidP="0098169E">
      <w:pPr>
        <w:pStyle w:val="Heading1"/>
        <w:rPr>
          <w:rFonts w:eastAsia="Times New Roman"/>
        </w:rPr>
      </w:pPr>
      <w:r>
        <w:rPr>
          <w:rFonts w:eastAsia="Times New Roman"/>
        </w:rPr>
        <w:t>Steps to request a CPO</w:t>
      </w:r>
      <w:r w:rsidR="00F045B6">
        <w:rPr>
          <w:rFonts w:eastAsia="Times New Roman"/>
        </w:rPr>
        <w:t xml:space="preserve"> be Initiated</w:t>
      </w:r>
    </w:p>
    <w:p w:rsidR="0098169E" w:rsidRDefault="009D29BA" w:rsidP="009D29BA">
      <w:pPr>
        <w:pStyle w:val="ListParagraph"/>
        <w:numPr>
          <w:ilvl w:val="0"/>
          <w:numId w:val="2"/>
        </w:numPr>
      </w:pPr>
      <w:r w:rsidRPr="009D29BA">
        <w:rPr>
          <w:rFonts w:ascii="Tahoma" w:eastAsia="Times New Roman" w:hAnsi="Tahoma" w:cs="Tahoma"/>
          <w:color w:val="000000"/>
          <w:sz w:val="24"/>
          <w:szCs w:val="24"/>
        </w:rPr>
        <w:t>Campus department gathers the following information</w:t>
      </w:r>
      <w:r>
        <w:t>:</w:t>
      </w:r>
      <w:bookmarkStart w:id="0" w:name="_GoBack"/>
      <w:bookmarkEnd w:id="0"/>
    </w:p>
    <w:p w:rsidR="009D29BA" w:rsidRPr="009D29BA" w:rsidRDefault="009D29BA" w:rsidP="009D29BA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  <w:sz w:val="24"/>
          <w:szCs w:val="24"/>
        </w:rPr>
      </w:pPr>
      <w:r w:rsidRPr="009D29BA">
        <w:rPr>
          <w:rFonts w:ascii="Tahoma" w:eastAsia="Times New Roman" w:hAnsi="Tahoma" w:cs="Tahoma"/>
          <w:color w:val="000000"/>
          <w:sz w:val="24"/>
          <w:szCs w:val="24"/>
        </w:rPr>
        <w:t>Contact phone number and email addresses for departmental and accounting personnel involved from both campuses</w:t>
      </w:r>
      <w:r w:rsidR="00343832">
        <w:rPr>
          <w:rFonts w:ascii="Tahoma" w:eastAsia="Times New Roman" w:hAnsi="Tahoma" w:cs="Tahoma"/>
          <w:color w:val="000000"/>
          <w:sz w:val="24"/>
          <w:szCs w:val="24"/>
        </w:rPr>
        <w:t>/CO</w:t>
      </w:r>
      <w:r w:rsidRPr="009D29BA">
        <w:rPr>
          <w:rFonts w:ascii="Tahoma" w:eastAsia="Times New Roman" w:hAnsi="Tahoma" w:cs="Tahoma"/>
          <w:color w:val="000000"/>
          <w:sz w:val="24"/>
          <w:szCs w:val="24"/>
        </w:rPr>
        <w:t xml:space="preserve"> involved in the agreement</w:t>
      </w:r>
      <w:r w:rsidR="00742A0E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0960C1" w:rsidRDefault="000960C1" w:rsidP="000960C1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Any documentation that will provide sufficient details to calculate the dollar amount to be transferred, the time period covered</w:t>
      </w:r>
      <w:r w:rsidR="00742A0E">
        <w:rPr>
          <w:rFonts w:ascii="Tahoma" w:eastAsia="Times New Roman" w:hAnsi="Tahoma" w:cs="Tahoma"/>
          <w:color w:val="000000"/>
          <w:sz w:val="24"/>
          <w:szCs w:val="24"/>
        </w:rPr>
        <w:t>,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and what is being paid for. </w:t>
      </w:r>
      <w:r w:rsidR="00663526">
        <w:rPr>
          <w:rFonts w:ascii="Tahoma" w:eastAsia="Times New Roman" w:hAnsi="Tahoma" w:cs="Tahoma"/>
          <w:color w:val="000000"/>
          <w:sz w:val="24"/>
          <w:szCs w:val="24"/>
        </w:rPr>
        <w:t>This can take the form of a Memorandum of Understanding (MOU), memos, email string</w:t>
      </w:r>
      <w:r w:rsidR="00742A0E">
        <w:rPr>
          <w:rFonts w:ascii="Tahoma" w:eastAsia="Times New Roman" w:hAnsi="Tahoma" w:cs="Tahoma"/>
          <w:color w:val="000000"/>
          <w:sz w:val="24"/>
          <w:szCs w:val="24"/>
        </w:rPr>
        <w:t>,</w:t>
      </w:r>
      <w:r w:rsidR="00663526">
        <w:rPr>
          <w:rFonts w:ascii="Tahoma" w:eastAsia="Times New Roman" w:hAnsi="Tahoma" w:cs="Tahoma"/>
          <w:color w:val="000000"/>
          <w:sz w:val="24"/>
          <w:szCs w:val="24"/>
        </w:rPr>
        <w:t xml:space="preserve"> or other document. </w:t>
      </w:r>
      <w:r w:rsidR="00815A2E">
        <w:rPr>
          <w:rFonts w:ascii="Tahoma" w:eastAsia="Times New Roman" w:hAnsi="Tahoma" w:cs="Tahoma"/>
          <w:color w:val="000000"/>
          <w:sz w:val="24"/>
          <w:szCs w:val="24"/>
        </w:rPr>
        <w:t xml:space="preserve">Note: </w:t>
      </w:r>
      <w:r>
        <w:rPr>
          <w:rFonts w:ascii="Tahoma" w:eastAsia="Times New Roman" w:hAnsi="Tahoma" w:cs="Tahoma"/>
          <w:color w:val="000000"/>
          <w:sz w:val="24"/>
          <w:szCs w:val="24"/>
        </w:rPr>
        <w:t>A CPO</w:t>
      </w:r>
      <w:r w:rsidR="00343832">
        <w:rPr>
          <w:rFonts w:ascii="Tahoma" w:eastAsia="Times New Roman" w:hAnsi="Tahoma" w:cs="Tahoma"/>
          <w:color w:val="000000"/>
          <w:sz w:val="24"/>
          <w:szCs w:val="24"/>
        </w:rPr>
        <w:t xml:space="preserve"> initiated by the campuses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can only be processed for the current fiscal year.</w:t>
      </w:r>
      <w:r w:rsidR="00327C89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If an agreement spans more than one fiscal year, a new CPO request will need to be initiated by the </w:t>
      </w:r>
      <w:r w:rsidR="00343832">
        <w:rPr>
          <w:rFonts w:ascii="Tahoma" w:eastAsia="Times New Roman" w:hAnsi="Tahoma" w:cs="Tahoma"/>
          <w:color w:val="000000"/>
          <w:sz w:val="24"/>
          <w:szCs w:val="24"/>
        </w:rPr>
        <w:t>CSUEB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department at</w:t>
      </w:r>
      <w:r w:rsidR="00815A2E">
        <w:rPr>
          <w:rFonts w:ascii="Tahoma" w:eastAsia="Times New Roman" w:hAnsi="Tahoma" w:cs="Tahoma"/>
          <w:color w:val="000000"/>
          <w:sz w:val="24"/>
          <w:szCs w:val="24"/>
        </w:rPr>
        <w:t xml:space="preserve"> the beginning of the new year.</w:t>
      </w:r>
    </w:p>
    <w:p w:rsidR="00815A2E" w:rsidRDefault="00815A2E" w:rsidP="000960C1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Approval/acceptance of the amount to be charged from the campus that will be paying. This can take many forms. It can be a signature on an MOU or an email from an employee authorized to approve expenditures.</w:t>
      </w:r>
    </w:p>
    <w:p w:rsidR="006F690C" w:rsidRDefault="006F690C" w:rsidP="006F690C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lastRenderedPageBreak/>
        <w:t>Chart</w:t>
      </w:r>
      <w:r w:rsidR="00C25F13">
        <w:rPr>
          <w:rFonts w:ascii="Tahoma" w:eastAsia="Times New Roman" w:hAnsi="Tahoma" w:cs="Tahoma"/>
          <w:color w:val="000000"/>
          <w:sz w:val="24"/>
          <w:szCs w:val="24"/>
        </w:rPr>
        <w:t>field</w:t>
      </w:r>
      <w:proofErr w:type="spellEnd"/>
      <w:r w:rsidR="00C25F13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</w:rPr>
        <w:t>string where charges should be posted or where credit should be posted when the final CPO is received.</w:t>
      </w:r>
    </w:p>
    <w:p w:rsidR="006F690C" w:rsidRDefault="006F690C" w:rsidP="006F690C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Campus department forwards above information and backup documents via email to the </w:t>
      </w:r>
      <w:r w:rsidR="00343832">
        <w:rPr>
          <w:rFonts w:ascii="Tahoma" w:eastAsia="Times New Roman" w:hAnsi="Tahoma" w:cs="Tahoma"/>
          <w:color w:val="000000"/>
          <w:sz w:val="24"/>
          <w:szCs w:val="24"/>
        </w:rPr>
        <w:t>General Accounting department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.  </w:t>
      </w:r>
      <w:r w:rsidR="00343832">
        <w:rPr>
          <w:rFonts w:ascii="Tahoma" w:eastAsia="Times New Roman" w:hAnsi="Tahoma" w:cs="Tahoma"/>
          <w:color w:val="000000"/>
          <w:sz w:val="24"/>
          <w:szCs w:val="24"/>
        </w:rPr>
        <w:t>Donna Arredondo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F045B6">
        <w:rPr>
          <w:rFonts w:ascii="Tahoma" w:eastAsia="Times New Roman" w:hAnsi="Tahoma" w:cs="Tahoma"/>
          <w:color w:val="000000"/>
          <w:sz w:val="24"/>
          <w:szCs w:val="24"/>
        </w:rPr>
        <w:t xml:space="preserve">is </w:t>
      </w:r>
      <w:r>
        <w:rPr>
          <w:rFonts w:ascii="Tahoma" w:eastAsia="Times New Roman" w:hAnsi="Tahoma" w:cs="Tahoma"/>
          <w:color w:val="000000"/>
          <w:sz w:val="24"/>
          <w:szCs w:val="24"/>
        </w:rPr>
        <w:t>the Accounting</w:t>
      </w:r>
      <w:r w:rsidR="00F045B6">
        <w:rPr>
          <w:rFonts w:ascii="Tahoma" w:eastAsia="Times New Roman" w:hAnsi="Tahoma" w:cs="Tahoma"/>
          <w:color w:val="000000"/>
          <w:sz w:val="24"/>
          <w:szCs w:val="24"/>
        </w:rPr>
        <w:t xml:space="preserve"> contact</w:t>
      </w:r>
      <w:r>
        <w:rPr>
          <w:rFonts w:ascii="Tahoma" w:eastAsia="Times New Roman" w:hAnsi="Tahoma" w:cs="Tahoma"/>
          <w:color w:val="000000"/>
          <w:sz w:val="24"/>
          <w:szCs w:val="24"/>
        </w:rPr>
        <w:t>, as noted above.</w:t>
      </w:r>
    </w:p>
    <w:p w:rsidR="006F690C" w:rsidRDefault="00343832" w:rsidP="006F690C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General Accounting </w:t>
      </w:r>
      <w:r w:rsidR="006F690C">
        <w:rPr>
          <w:rFonts w:ascii="Tahoma" w:eastAsia="Times New Roman" w:hAnsi="Tahoma" w:cs="Tahoma"/>
          <w:color w:val="000000"/>
          <w:sz w:val="24"/>
          <w:szCs w:val="24"/>
        </w:rPr>
        <w:t>reviews information and requests more information if necessary.</w:t>
      </w:r>
    </w:p>
    <w:p w:rsidR="006F690C" w:rsidRDefault="006F690C" w:rsidP="00343832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Once the information is complete, </w:t>
      </w:r>
      <w:r w:rsidR="00343832">
        <w:rPr>
          <w:rFonts w:ascii="Tahoma" w:eastAsia="Times New Roman" w:hAnsi="Tahoma" w:cs="Tahoma"/>
          <w:color w:val="000000"/>
          <w:sz w:val="24"/>
          <w:szCs w:val="24"/>
        </w:rPr>
        <w:t>General Accounting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prepares a CPO request form, attache</w:t>
      </w:r>
      <w:r w:rsidR="00D8654D">
        <w:rPr>
          <w:rFonts w:ascii="Tahoma" w:eastAsia="Times New Roman" w:hAnsi="Tahoma" w:cs="Tahoma"/>
          <w:color w:val="000000"/>
          <w:sz w:val="24"/>
          <w:szCs w:val="24"/>
        </w:rPr>
        <w:t>s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the appropriate documents and contact information, and submits via </w:t>
      </w:r>
      <w:r w:rsidR="00343832">
        <w:rPr>
          <w:rFonts w:ascii="Tahoma" w:eastAsia="Times New Roman" w:hAnsi="Tahoma" w:cs="Tahoma"/>
          <w:color w:val="000000"/>
          <w:sz w:val="24"/>
          <w:szCs w:val="24"/>
        </w:rPr>
        <w:t>the CPO</w:t>
      </w:r>
      <w:r w:rsidR="00F045B6">
        <w:rPr>
          <w:rFonts w:ascii="Tahoma" w:eastAsia="Times New Roman" w:hAnsi="Tahoma" w:cs="Tahoma"/>
          <w:color w:val="000000"/>
          <w:sz w:val="24"/>
          <w:szCs w:val="24"/>
        </w:rPr>
        <w:t xml:space="preserve"> to the CO</w:t>
      </w:r>
      <w:r w:rsidR="00343832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</w:p>
    <w:p w:rsidR="006F690C" w:rsidRDefault="006F690C" w:rsidP="006F690C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The CO-Accounting Office reviews the documents provided and gets approval from either the CO-other department or from the other campus using the contact information provided on the CPO request.</w:t>
      </w:r>
    </w:p>
    <w:p w:rsidR="006F690C" w:rsidRDefault="006F690C" w:rsidP="006F690C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The CO generates the final CPO and distributes to the campuses involved.</w:t>
      </w:r>
    </w:p>
    <w:p w:rsidR="00C27B22" w:rsidRPr="00C25F13" w:rsidRDefault="00F045B6" w:rsidP="00E9019B">
      <w:pPr>
        <w:pStyle w:val="ListParagraph"/>
        <w:numPr>
          <w:ilvl w:val="0"/>
          <w:numId w:val="2"/>
        </w:numPr>
        <w:ind w:left="72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25F13">
        <w:rPr>
          <w:rFonts w:ascii="Tahoma" w:eastAsia="Times New Roman" w:hAnsi="Tahoma" w:cs="Tahoma"/>
          <w:color w:val="000000"/>
          <w:sz w:val="24"/>
          <w:szCs w:val="24"/>
        </w:rPr>
        <w:t xml:space="preserve">General Accounting records the CPO in PeopleSoft using the </w:t>
      </w:r>
      <w:proofErr w:type="spellStart"/>
      <w:r w:rsidRPr="00C25F13">
        <w:rPr>
          <w:rFonts w:ascii="Tahoma" w:eastAsia="Times New Roman" w:hAnsi="Tahoma" w:cs="Tahoma"/>
          <w:color w:val="000000"/>
          <w:sz w:val="24"/>
          <w:szCs w:val="24"/>
        </w:rPr>
        <w:t>chartfield</w:t>
      </w:r>
      <w:proofErr w:type="spellEnd"/>
      <w:r w:rsidRPr="00C25F13">
        <w:rPr>
          <w:rFonts w:ascii="Tahoma" w:eastAsia="Times New Roman" w:hAnsi="Tahoma" w:cs="Tahoma"/>
          <w:color w:val="000000"/>
          <w:sz w:val="24"/>
          <w:szCs w:val="24"/>
        </w:rPr>
        <w:t xml:space="preserve"> string(s) provided by the campus department.</w:t>
      </w:r>
    </w:p>
    <w:sectPr w:rsidR="00C27B22" w:rsidRPr="00C25F13" w:rsidSect="003503E5">
      <w:footerReference w:type="default" r:id="rId11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01" w:rsidRDefault="00295A01" w:rsidP="008D5854">
      <w:pPr>
        <w:spacing w:after="0" w:line="240" w:lineRule="auto"/>
      </w:pPr>
      <w:r>
        <w:separator/>
      </w:r>
    </w:p>
  </w:endnote>
  <w:endnote w:type="continuationSeparator" w:id="0">
    <w:p w:rsidR="00295A01" w:rsidRDefault="00295A01" w:rsidP="008D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95" w:rsidRDefault="004A2895">
    <w:pPr>
      <w:pStyle w:val="Footer"/>
    </w:pPr>
    <w:r>
      <w:t>Cash Posting Order (CPO) Procedures for Campus Departments</w:t>
    </w:r>
  </w:p>
  <w:p w:rsidR="004A2895" w:rsidRDefault="004A2895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9134DA">
      <w:rPr>
        <w:b/>
        <w:noProof/>
      </w:rPr>
      <w:t>1</w:t>
    </w:r>
    <w:r>
      <w:rPr>
        <w:b/>
      </w:rPr>
      <w:fldChar w:fldCharType="end"/>
    </w:r>
    <w:r>
      <w:t xml:space="preserve"> of </w:t>
    </w:r>
    <w:fldSimple w:instr=" NUMPAGES  \* Arabic  \* MERGEFORMAT ">
      <w:r w:rsidR="009134DA" w:rsidRPr="009134DA">
        <w:rPr>
          <w:b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01" w:rsidRDefault="00295A01" w:rsidP="008D5854">
      <w:pPr>
        <w:spacing w:after="0" w:line="240" w:lineRule="auto"/>
      </w:pPr>
      <w:r>
        <w:separator/>
      </w:r>
    </w:p>
  </w:footnote>
  <w:footnote w:type="continuationSeparator" w:id="0">
    <w:p w:rsidR="00295A01" w:rsidRDefault="00295A01" w:rsidP="008D5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38F9"/>
    <w:multiLevelType w:val="hybridMultilevel"/>
    <w:tmpl w:val="E4EE0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425E"/>
    <w:multiLevelType w:val="hybridMultilevel"/>
    <w:tmpl w:val="E12AA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37772"/>
    <w:multiLevelType w:val="hybridMultilevel"/>
    <w:tmpl w:val="613E0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24574"/>
    <w:multiLevelType w:val="hybridMultilevel"/>
    <w:tmpl w:val="6CD6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81780"/>
    <w:multiLevelType w:val="hybridMultilevel"/>
    <w:tmpl w:val="9496D9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9B3C1D"/>
    <w:multiLevelType w:val="hybridMultilevel"/>
    <w:tmpl w:val="8E1C3A80"/>
    <w:lvl w:ilvl="0" w:tplc="8E862D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8738A"/>
    <w:multiLevelType w:val="hybridMultilevel"/>
    <w:tmpl w:val="67CA2E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BD2361"/>
    <w:multiLevelType w:val="hybridMultilevel"/>
    <w:tmpl w:val="632E4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638DC"/>
    <w:multiLevelType w:val="hybridMultilevel"/>
    <w:tmpl w:val="229AE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D75FB"/>
    <w:multiLevelType w:val="hybridMultilevel"/>
    <w:tmpl w:val="C43A73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AA"/>
    <w:rsid w:val="000269C1"/>
    <w:rsid w:val="000431C6"/>
    <w:rsid w:val="00065BB9"/>
    <w:rsid w:val="000722D6"/>
    <w:rsid w:val="000761BD"/>
    <w:rsid w:val="00094259"/>
    <w:rsid w:val="000960C1"/>
    <w:rsid w:val="000E280B"/>
    <w:rsid w:val="0015760D"/>
    <w:rsid w:val="00196D90"/>
    <w:rsid w:val="002266C2"/>
    <w:rsid w:val="00271860"/>
    <w:rsid w:val="00295A01"/>
    <w:rsid w:val="002E1794"/>
    <w:rsid w:val="002E7C34"/>
    <w:rsid w:val="00327C89"/>
    <w:rsid w:val="00343832"/>
    <w:rsid w:val="003439C0"/>
    <w:rsid w:val="003503E5"/>
    <w:rsid w:val="00361A0F"/>
    <w:rsid w:val="003B6967"/>
    <w:rsid w:val="003E275F"/>
    <w:rsid w:val="004016EC"/>
    <w:rsid w:val="004158AA"/>
    <w:rsid w:val="00434B31"/>
    <w:rsid w:val="00496A97"/>
    <w:rsid w:val="004A2895"/>
    <w:rsid w:val="004B6915"/>
    <w:rsid w:val="004C091B"/>
    <w:rsid w:val="00515D08"/>
    <w:rsid w:val="00516C8F"/>
    <w:rsid w:val="005941E0"/>
    <w:rsid w:val="00607A02"/>
    <w:rsid w:val="00663526"/>
    <w:rsid w:val="0069110E"/>
    <w:rsid w:val="00692534"/>
    <w:rsid w:val="006A1736"/>
    <w:rsid w:val="006A5F88"/>
    <w:rsid w:val="006B1FC1"/>
    <w:rsid w:val="006B4E5E"/>
    <w:rsid w:val="006C2A27"/>
    <w:rsid w:val="006F690C"/>
    <w:rsid w:val="00723FC7"/>
    <w:rsid w:val="00742A0E"/>
    <w:rsid w:val="007D5E10"/>
    <w:rsid w:val="00815A2E"/>
    <w:rsid w:val="00887C17"/>
    <w:rsid w:val="008B59A1"/>
    <w:rsid w:val="008D5854"/>
    <w:rsid w:val="009134DA"/>
    <w:rsid w:val="00956016"/>
    <w:rsid w:val="0098169E"/>
    <w:rsid w:val="00995868"/>
    <w:rsid w:val="009C325A"/>
    <w:rsid w:val="009D29BA"/>
    <w:rsid w:val="00A14045"/>
    <w:rsid w:val="00A26BC1"/>
    <w:rsid w:val="00A9033D"/>
    <w:rsid w:val="00AE48EB"/>
    <w:rsid w:val="00BE6590"/>
    <w:rsid w:val="00C01FB1"/>
    <w:rsid w:val="00C06AE0"/>
    <w:rsid w:val="00C17D7C"/>
    <w:rsid w:val="00C238E3"/>
    <w:rsid w:val="00C25F13"/>
    <w:rsid w:val="00C27B22"/>
    <w:rsid w:val="00C545C9"/>
    <w:rsid w:val="00C86EA4"/>
    <w:rsid w:val="00CE0603"/>
    <w:rsid w:val="00D460A4"/>
    <w:rsid w:val="00D85848"/>
    <w:rsid w:val="00D8654D"/>
    <w:rsid w:val="00E1506F"/>
    <w:rsid w:val="00E44B6E"/>
    <w:rsid w:val="00EF1E84"/>
    <w:rsid w:val="00EF24F3"/>
    <w:rsid w:val="00F045B6"/>
    <w:rsid w:val="00F2110F"/>
    <w:rsid w:val="00F36FBA"/>
    <w:rsid w:val="00FA4B00"/>
    <w:rsid w:val="00FB5716"/>
    <w:rsid w:val="00FC0697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58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9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158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8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8169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D29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D29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854"/>
  </w:style>
  <w:style w:type="paragraph" w:styleId="Footer">
    <w:name w:val="footer"/>
    <w:basedOn w:val="Normal"/>
    <w:link w:val="FooterChar"/>
    <w:uiPriority w:val="99"/>
    <w:unhideWhenUsed/>
    <w:rsid w:val="008D5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58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9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158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8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8169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D29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D29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854"/>
  </w:style>
  <w:style w:type="paragraph" w:styleId="Footer">
    <w:name w:val="footer"/>
    <w:basedOn w:val="Normal"/>
    <w:link w:val="FooterChar"/>
    <w:uiPriority w:val="99"/>
    <w:unhideWhenUsed/>
    <w:rsid w:val="008D5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arredondo@csueastbay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henzing.ma@csueastbay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.huffenberger@csueastba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</dc:creator>
  <cp:lastModifiedBy>Riza Casal</cp:lastModifiedBy>
  <cp:revision>2</cp:revision>
  <cp:lastPrinted>2013-02-25T16:48:00Z</cp:lastPrinted>
  <dcterms:created xsi:type="dcterms:W3CDTF">2018-06-18T17:54:00Z</dcterms:created>
  <dcterms:modified xsi:type="dcterms:W3CDTF">2018-06-18T17:54:00Z</dcterms:modified>
</cp:coreProperties>
</file>